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1317C" w:rsidRDefault="009451E5">
      <w:pPr>
        <w:widowControl w:val="0"/>
        <w:pBdr>
          <w:top w:val="nil"/>
          <w:left w:val="nil"/>
          <w:bottom w:val="nil"/>
          <w:right w:val="nil"/>
          <w:between w:val="nil"/>
        </w:pBdr>
        <w:spacing w:line="276" w:lineRule="auto"/>
      </w:pPr>
      <w:r>
        <w:pict w14:anchorId="171A603A">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69EA4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p>
    <w:p w14:paraId="00000002" w14:textId="77777777" w:rsidR="0051317C" w:rsidRDefault="0051317C">
      <w:pPr>
        <w:widowControl w:val="0"/>
        <w:pBdr>
          <w:top w:val="nil"/>
          <w:left w:val="nil"/>
          <w:bottom w:val="nil"/>
          <w:right w:val="nil"/>
          <w:between w:val="nil"/>
        </w:pBdr>
        <w:spacing w:line="276" w:lineRule="auto"/>
      </w:pPr>
    </w:p>
    <w:p w14:paraId="00000003" w14:textId="77777777" w:rsidR="0051317C" w:rsidRDefault="009451E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bookmarkStart w:id="0" w:name="_heading=h.ivlbigtpw2yd" w:colFirst="0" w:colLast="0"/>
      <w:bookmarkEnd w:id="0"/>
      <w:r>
        <w:rPr>
          <w:rFonts w:ascii="Times New Roman" w:eastAsia="Times New Roman" w:hAnsi="Times New Roman" w:cs="Times New Roman"/>
          <w:sz w:val="24"/>
          <w:szCs w:val="24"/>
          <w:u w:val="single"/>
        </w:rPr>
        <w:t>Proposed Amendments to Existing Hamilton Zoning By-law</w:t>
      </w:r>
    </w:p>
    <w:p w14:paraId="0000000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DRAFT for Planning Board Review</w:t>
      </w:r>
    </w:p>
    <w:p w14:paraId="00000005"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2025-05-28</w:t>
      </w:r>
    </w:p>
    <w:p w14:paraId="00000006" w14:textId="77777777" w:rsidR="0051317C" w:rsidRDefault="0051317C">
      <w:pPr>
        <w:spacing w:line="276" w:lineRule="auto"/>
        <w:rPr>
          <w:rFonts w:ascii="Times New Roman" w:eastAsia="Times New Roman" w:hAnsi="Times New Roman" w:cs="Times New Roman"/>
          <w:sz w:val="24"/>
          <w:szCs w:val="24"/>
        </w:rPr>
      </w:pPr>
    </w:p>
    <w:p w14:paraId="00000007" w14:textId="2B0B39B9" w:rsidR="0051317C" w:rsidRDefault="009451E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following sections of the existing Zoning By-law will be re-written as follows. Unless specifically indicated in the document,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00000008" w14:textId="77777777" w:rsidR="0051317C" w:rsidRDefault="009451E5">
      <w:pPr>
        <w:pStyle w:val="Heading2"/>
        <w:spacing w:before="360" w:line="276" w:lineRule="auto"/>
        <w:ind w:left="720" w:hanging="720"/>
        <w:rPr>
          <w:rFonts w:ascii="Times New Roman" w:eastAsia="Times New Roman" w:hAnsi="Times New Roman" w:cs="Times New Roman"/>
          <w:i/>
          <w:sz w:val="24"/>
          <w:szCs w:val="24"/>
        </w:rPr>
      </w:pPr>
      <w:bookmarkStart w:id="1" w:name="_heading=h.ozo9yyr334o2" w:colFirst="0" w:colLast="0"/>
      <w:bookmarkEnd w:id="1"/>
      <w:r>
        <w:rPr>
          <w:rFonts w:ascii="Times New Roman" w:eastAsia="Times New Roman" w:hAnsi="Times New Roman" w:cs="Times New Roman"/>
          <w:i/>
          <w:sz w:val="24"/>
          <w:szCs w:val="24"/>
        </w:rPr>
        <w:t>HAMILTON ZONING BY-LAW TABLE OF CONTENTS</w:t>
      </w:r>
    </w:p>
    <w:p w14:paraId="00000009"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0000000A" w14:textId="77777777" w:rsidR="0051317C" w:rsidRDefault="0051317C">
      <w:pPr>
        <w:spacing w:line="276" w:lineRule="auto"/>
        <w:rPr>
          <w:rFonts w:ascii="Times New Roman" w:eastAsia="Times New Roman" w:hAnsi="Times New Roman" w:cs="Times New Roman"/>
          <w:i/>
          <w:sz w:val="24"/>
          <w:szCs w:val="24"/>
        </w:rPr>
      </w:pPr>
    </w:p>
    <w:p w14:paraId="0000000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b/>
        <w:t>3A MULTI-FAMILY OVERLAY DISTRICT (3A-MFOD)</w:t>
      </w:r>
    </w:p>
    <w:p w14:paraId="0000000C"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9.7.1</w:t>
      </w:r>
      <w:r>
        <w:rPr>
          <w:rFonts w:ascii="Times New Roman" w:eastAsia="Times New Roman" w:hAnsi="Times New Roman" w:cs="Times New Roman"/>
          <w:b/>
          <w:sz w:val="24"/>
          <w:szCs w:val="24"/>
        </w:rPr>
        <w:tab/>
        <w:t>Purpose</w:t>
      </w:r>
    </w:p>
    <w:p w14:paraId="0000000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9.7.2</w:t>
      </w:r>
      <w:r>
        <w:rPr>
          <w:rFonts w:ascii="Times New Roman" w:eastAsia="Times New Roman" w:hAnsi="Times New Roman" w:cs="Times New Roman"/>
          <w:b/>
          <w:sz w:val="24"/>
          <w:szCs w:val="24"/>
        </w:rPr>
        <w:tab/>
        <w:t>Applicability</w:t>
      </w:r>
    </w:p>
    <w:p w14:paraId="0000000E"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9.7.3 </w:t>
      </w:r>
      <w:r>
        <w:rPr>
          <w:rFonts w:ascii="Times New Roman" w:eastAsia="Times New Roman" w:hAnsi="Times New Roman" w:cs="Times New Roman"/>
          <w:b/>
          <w:sz w:val="24"/>
          <w:szCs w:val="24"/>
        </w:rPr>
        <w:tab/>
        <w:t>Permitted Uses</w:t>
      </w:r>
    </w:p>
    <w:p w14:paraId="0000000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9.7.4 </w:t>
      </w:r>
      <w:r>
        <w:rPr>
          <w:rFonts w:ascii="Times New Roman" w:eastAsia="Times New Roman" w:hAnsi="Times New Roman" w:cs="Times New Roman"/>
          <w:b/>
          <w:sz w:val="24"/>
          <w:szCs w:val="24"/>
        </w:rPr>
        <w:tab/>
        <w:t>Dimensional Standards</w:t>
      </w:r>
    </w:p>
    <w:p w14:paraId="00000010"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9.7.5 </w:t>
      </w:r>
      <w:r>
        <w:rPr>
          <w:rFonts w:ascii="Times New Roman" w:eastAsia="Times New Roman" w:hAnsi="Times New Roman" w:cs="Times New Roman"/>
          <w:b/>
          <w:sz w:val="24"/>
          <w:szCs w:val="24"/>
        </w:rPr>
        <w:tab/>
        <w:t>Severability</w:t>
      </w:r>
    </w:p>
    <w:p w14:paraId="00000011" w14:textId="77777777" w:rsidR="0051317C" w:rsidRDefault="0051317C">
      <w:pPr>
        <w:spacing w:line="276" w:lineRule="auto"/>
        <w:ind w:left="720"/>
        <w:rPr>
          <w:rFonts w:ascii="Times New Roman" w:eastAsia="Times New Roman" w:hAnsi="Times New Roman" w:cs="Times New Roman"/>
          <w:sz w:val="24"/>
          <w:szCs w:val="24"/>
        </w:rPr>
      </w:pPr>
    </w:p>
    <w:p w14:paraId="00000012"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b/>
        <w:t>TOWN CENTER DISTRICT</w:t>
      </w:r>
      <w:r>
        <w:rPr>
          <w:rFonts w:ascii="Times New Roman" w:eastAsia="Times New Roman" w:hAnsi="Times New Roman" w:cs="Times New Roman"/>
          <w:sz w:val="24"/>
          <w:szCs w:val="24"/>
        </w:rPr>
        <w:t xml:space="preserve">     </w:t>
      </w:r>
    </w:p>
    <w:p w14:paraId="00000013"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9.8.1 </w:t>
      </w:r>
      <w:r>
        <w:rPr>
          <w:rFonts w:ascii="Times New Roman" w:eastAsia="Times New Roman" w:hAnsi="Times New Roman" w:cs="Times New Roman"/>
          <w:b/>
          <w:sz w:val="24"/>
          <w:szCs w:val="24"/>
        </w:rPr>
        <w:tab/>
        <w:t>Purpose and Intent</w:t>
      </w:r>
    </w:p>
    <w:p w14:paraId="00000014"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9.8.2 </w:t>
      </w:r>
      <w:r>
        <w:rPr>
          <w:rFonts w:ascii="Times New Roman" w:eastAsia="Times New Roman" w:hAnsi="Times New Roman" w:cs="Times New Roman"/>
          <w:b/>
          <w:sz w:val="24"/>
          <w:szCs w:val="24"/>
        </w:rPr>
        <w:tab/>
        <w:t>Interpretation</w:t>
      </w:r>
    </w:p>
    <w:p w14:paraId="00000015"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9.8.3 </w:t>
      </w:r>
      <w:r>
        <w:rPr>
          <w:rFonts w:ascii="Times New Roman" w:eastAsia="Times New Roman" w:hAnsi="Times New Roman" w:cs="Times New Roman"/>
          <w:b/>
          <w:sz w:val="24"/>
          <w:szCs w:val="24"/>
        </w:rPr>
        <w:tab/>
        <w:t>Town Center Sub-districts</w:t>
      </w:r>
    </w:p>
    <w:p w14:paraId="00000016"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9.8.4</w:t>
      </w:r>
      <w:r>
        <w:rPr>
          <w:rFonts w:ascii="Times New Roman" w:eastAsia="Times New Roman" w:hAnsi="Times New Roman" w:cs="Times New Roman"/>
          <w:b/>
          <w:sz w:val="24"/>
          <w:szCs w:val="24"/>
        </w:rPr>
        <w:tab/>
        <w:t>Dimensional Standards</w:t>
      </w:r>
    </w:p>
    <w:p w14:paraId="00000017"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9.8.5</w:t>
      </w:r>
      <w:r>
        <w:rPr>
          <w:rFonts w:ascii="Times New Roman" w:eastAsia="Times New Roman" w:hAnsi="Times New Roman" w:cs="Times New Roman"/>
          <w:b/>
          <w:sz w:val="24"/>
          <w:szCs w:val="24"/>
        </w:rPr>
        <w:tab/>
        <w:t>Use Provisions</w:t>
      </w:r>
    </w:p>
    <w:p w14:paraId="00000018"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9.8.6</w:t>
      </w:r>
      <w:r>
        <w:rPr>
          <w:rFonts w:ascii="Times New Roman" w:eastAsia="Times New Roman" w:hAnsi="Times New Roman" w:cs="Times New Roman"/>
          <w:b/>
          <w:sz w:val="24"/>
          <w:szCs w:val="24"/>
        </w:rPr>
        <w:tab/>
        <w:t>Site Standards</w:t>
      </w:r>
    </w:p>
    <w:p w14:paraId="00000019" w14:textId="77777777" w:rsidR="0051317C" w:rsidRDefault="009451E5">
      <w:pPr>
        <w:pBdr>
          <w:top w:val="nil"/>
          <w:left w:val="nil"/>
          <w:bottom w:val="nil"/>
          <w:right w:val="nil"/>
          <w:between w:val="nil"/>
        </w:pBdr>
        <w:spacing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9.8.7</w:t>
      </w:r>
      <w:r>
        <w:rPr>
          <w:rFonts w:ascii="Times New Roman" w:eastAsia="Times New Roman" w:hAnsi="Times New Roman" w:cs="Times New Roman"/>
          <w:b/>
          <w:sz w:val="24"/>
          <w:szCs w:val="24"/>
        </w:rPr>
        <w:tab/>
        <w:t>Administration</w:t>
      </w:r>
    </w:p>
    <w:p w14:paraId="0000001A" w14:textId="77777777" w:rsidR="0051317C" w:rsidRDefault="0051317C">
      <w:pPr>
        <w:spacing w:line="276" w:lineRule="auto"/>
        <w:rPr>
          <w:rFonts w:ascii="Times New Roman" w:eastAsia="Times New Roman" w:hAnsi="Times New Roman" w:cs="Times New Roman"/>
          <w:i/>
          <w:sz w:val="24"/>
          <w:szCs w:val="24"/>
        </w:rPr>
      </w:pPr>
    </w:p>
    <w:p w14:paraId="0000001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0000001C" w14:textId="77777777" w:rsidR="0051317C" w:rsidRDefault="0051317C">
      <w:pPr>
        <w:spacing w:line="276" w:lineRule="auto"/>
        <w:rPr>
          <w:rFonts w:ascii="Times New Roman" w:eastAsia="Times New Roman" w:hAnsi="Times New Roman" w:cs="Times New Roman"/>
          <w:sz w:val="24"/>
          <w:szCs w:val="24"/>
        </w:rPr>
      </w:pPr>
    </w:p>
    <w:p w14:paraId="0000001D"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0000001E"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0000001F"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00000020"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00000021"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000022"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0000002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00000024"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00000025"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00000026" w14:textId="77777777" w:rsidR="0051317C" w:rsidRDefault="0051317C">
      <w:pPr>
        <w:spacing w:line="276" w:lineRule="auto"/>
        <w:rPr>
          <w:rFonts w:ascii="Times New Roman" w:eastAsia="Times New Roman" w:hAnsi="Times New Roman" w:cs="Times New Roman"/>
          <w:sz w:val="24"/>
          <w:szCs w:val="24"/>
        </w:rPr>
      </w:pPr>
    </w:p>
    <w:p w14:paraId="00000027" w14:textId="53811169"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June 26</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00000028" w14:textId="77777777" w:rsidR="0051317C" w:rsidRDefault="0051317C">
      <w:pPr>
        <w:spacing w:line="276" w:lineRule="auto"/>
        <w:rPr>
          <w:rFonts w:ascii="Times New Roman" w:eastAsia="Times New Roman" w:hAnsi="Times New Roman" w:cs="Times New Roman"/>
          <w:i/>
          <w:sz w:val="24"/>
          <w:szCs w:val="24"/>
        </w:rPr>
      </w:pPr>
    </w:p>
    <w:p w14:paraId="00000029" w14:textId="77777777" w:rsidR="0051317C" w:rsidRDefault="009451E5"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2" w:name="_GoBack"/>
      <w:r>
        <w:rPr>
          <w:rFonts w:ascii="Times New Roman" w:eastAsia="Times New Roman" w:hAnsi="Times New Roman" w:cs="Times New Roman"/>
          <w:i/>
          <w:sz w:val="24"/>
          <w:szCs w:val="24"/>
        </w:rPr>
        <w:t>In the Downtown, add the following districts to the Town Zoning Map to replace the underlying existing portions of the B and R-1A districts in the current map. Remove key references to the Business District which is removed entirely. Extend the R-1A district southeast along Linden Street to include any parcels currently within the Business District and not included in the proposed Depot Square Mixed-Use District.</w:t>
      </w:r>
    </w:p>
    <w:p w14:paraId="0000002A" w14:textId="77777777" w:rsidR="0051317C" w:rsidRDefault="009451E5"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19050" distB="19050" distL="19050" distR="19050">
            <wp:extent cx="4676775" cy="3841049"/>
            <wp:effectExtent l="0" t="0" r="0" b="0"/>
            <wp:docPr id="16" name="image3.png" descr="Town Center Subdistricts.png"/>
            <wp:cNvGraphicFramePr/>
            <a:graphic xmlns:a="http://schemas.openxmlformats.org/drawingml/2006/main">
              <a:graphicData uri="http://schemas.openxmlformats.org/drawingml/2006/picture">
                <pic:pic xmlns:pic="http://schemas.openxmlformats.org/drawingml/2006/picture">
                  <pic:nvPicPr>
                    <pic:cNvPr id="0" name="image3.png" descr="Town Center Subdistricts.png"/>
                    <pic:cNvPicPr preferRelativeResize="0"/>
                  </pic:nvPicPr>
                  <pic:blipFill>
                    <a:blip r:embed="rId8"/>
                    <a:srcRect l="29827" t="18380" r="33331" b="14372"/>
                    <a:stretch>
                      <a:fillRect/>
                    </a:stretch>
                  </pic:blipFill>
                  <pic:spPr>
                    <a:xfrm>
                      <a:off x="0" y="0"/>
                      <a:ext cx="4676775" cy="3841049"/>
                    </a:xfrm>
                    <a:prstGeom prst="rect">
                      <a:avLst/>
                    </a:prstGeom>
                    <a:ln/>
                  </pic:spPr>
                </pic:pic>
              </a:graphicData>
            </a:graphic>
          </wp:inline>
        </w:drawing>
      </w:r>
      <w:r>
        <w:rPr>
          <w:rFonts w:ascii="Times New Roman" w:eastAsia="Times New Roman" w:hAnsi="Times New Roman" w:cs="Times New Roman"/>
          <w:b/>
          <w:noProof/>
          <w:sz w:val="24"/>
          <w:szCs w:val="24"/>
          <w:lang w:val="en-US"/>
        </w:rPr>
        <w:drawing>
          <wp:inline distT="114300" distB="114300" distL="114300" distR="114300">
            <wp:extent cx="2043113" cy="14958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43113" cy="1495850"/>
                    </a:xfrm>
                    <a:prstGeom prst="rect">
                      <a:avLst/>
                    </a:prstGeom>
                    <a:ln/>
                  </pic:spPr>
                </pic:pic>
              </a:graphicData>
            </a:graphic>
          </wp:inline>
        </w:drawing>
      </w:r>
    </w:p>
    <w:p w14:paraId="0000002B" w14:textId="77777777" w:rsidR="0051317C" w:rsidRDefault="009451E5"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SUB-DISTRICTS OF THE TOWN CENTER DISTRICT</w:t>
      </w:r>
    </w:p>
    <w:p w14:paraId="0000002C" w14:textId="77777777" w:rsidR="0051317C" w:rsidRDefault="0051317C"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000002D" w14:textId="77777777" w:rsidR="0051317C" w:rsidRDefault="009451E5"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0"/>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0000002E" w14:textId="77777777" w:rsidR="0051317C" w:rsidRDefault="009451E5" w:rsidP="0042132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3A-MFOD</w:t>
      </w:r>
    </w:p>
    <w:bookmarkEnd w:id="2"/>
    <w:p w14:paraId="0000002F" w14:textId="77777777" w:rsidR="0051317C" w:rsidRDefault="0051317C">
      <w:pPr>
        <w:spacing w:line="276" w:lineRule="auto"/>
        <w:rPr>
          <w:rFonts w:ascii="Times New Roman" w:eastAsia="Times New Roman" w:hAnsi="Times New Roman" w:cs="Times New Roman"/>
          <w:sz w:val="24"/>
          <w:szCs w:val="24"/>
        </w:rPr>
      </w:pPr>
    </w:p>
    <w:p w14:paraId="00000030"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3" w:name="_heading=h.o45pcftso0fn" w:colFirst="0" w:colLast="0"/>
      <w:bookmarkEnd w:id="3"/>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0000031" w14:textId="77777777" w:rsidR="0051317C" w:rsidRDefault="0051317C">
      <w:pPr>
        <w:spacing w:line="276" w:lineRule="auto"/>
        <w:rPr>
          <w:rFonts w:ascii="Times New Roman" w:eastAsia="Times New Roman" w:hAnsi="Times New Roman" w:cs="Times New Roman"/>
          <w:sz w:val="24"/>
          <w:szCs w:val="24"/>
        </w:rPr>
      </w:pPr>
    </w:p>
    <w:p w14:paraId="00000032"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00000033"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00000034"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00000035"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00000036"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00000037" w14:textId="77777777" w:rsidR="0051317C" w:rsidRDefault="009451E5">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00000038" w14:textId="77777777" w:rsidR="0051317C" w:rsidRDefault="0051317C">
      <w:pPr>
        <w:rPr>
          <w:rFonts w:ascii="Times New Roman" w:eastAsia="Times New Roman" w:hAnsi="Times New Roman" w:cs="Times New Roman"/>
          <w:sz w:val="24"/>
          <w:szCs w:val="24"/>
        </w:rPr>
      </w:pPr>
    </w:p>
    <w:p w14:paraId="00000039" w14:textId="77777777" w:rsidR="0051317C" w:rsidRDefault="0051317C">
      <w:pPr>
        <w:tabs>
          <w:tab w:val="left" w:pos="6480"/>
        </w:tabs>
        <w:spacing w:line="276" w:lineRule="auto"/>
        <w:rPr>
          <w:rFonts w:ascii="Times New Roman" w:eastAsia="Times New Roman" w:hAnsi="Times New Roman" w:cs="Times New Roman"/>
          <w:sz w:val="24"/>
          <w:szCs w:val="24"/>
        </w:rPr>
      </w:pPr>
    </w:p>
    <w:p w14:paraId="0000003A"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0000003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0000003C"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 or R-1B District and a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p>
    <w:p w14:paraId="0000003D" w14:textId="77777777"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4" w:name="_heading=h.upanjqfd214v" w:colFirst="0" w:colLast="0"/>
      <w:bookmarkEnd w:id="4"/>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0000003E" w14:textId="77777777" w:rsidR="0051317C" w:rsidRDefault="0051317C"/>
    <w:p w14:paraId="0000003F"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00000040" w14:textId="77777777" w:rsidR="0051317C" w:rsidRDefault="0051317C">
      <w:pPr>
        <w:jc w:val="center"/>
        <w:rPr>
          <w:rFonts w:ascii="Times New Roman" w:eastAsia="Times New Roman" w:hAnsi="Times New Roman" w:cs="Times New Roman"/>
          <w:b/>
          <w:sz w:val="24"/>
          <w:szCs w:val="24"/>
        </w:rPr>
      </w:pPr>
    </w:p>
    <w:p w14:paraId="00000041" w14:textId="5669583A"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 xml:space="preserve">for new uses added to the table which are shown in underline. </w:t>
      </w:r>
    </w:p>
    <w:p w14:paraId="00000042"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0000043" w14:textId="77777777"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Delete the last Column “B” Business District from the Table</w:t>
      </w:r>
    </w:p>
    <w:p w14:paraId="00000044"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00000045" w14:textId="77777777"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Indicate in the table that A8 and A9 uses are not allowed (“N”) in the R-1A, R-1B and RA districts</w:t>
      </w:r>
    </w:p>
    <w:p w14:paraId="0000004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00000047" w14:textId="77777777"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5" w:name="_heading=h.5o0wur502vnz" w:colFirst="0" w:colLast="0"/>
      <w:bookmarkEnd w:id="5"/>
      <w:r>
        <w:rPr>
          <w:rFonts w:ascii="Times New Roman" w:eastAsia="Times New Roman" w:hAnsi="Times New Roman" w:cs="Times New Roman"/>
          <w:i/>
          <w:sz w:val="24"/>
          <w:szCs w:val="24"/>
        </w:rPr>
        <w:t>Add 5 additional columns to include Depot Square, Bay Road Scenic, Willow Street Mixed-Use and Downtown Residential sub-districts as follows:</w:t>
      </w:r>
    </w:p>
    <w:p w14:paraId="00000048"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5DB3866F" w14:textId="77777777">
        <w:trPr>
          <w:trHeight w:val="420"/>
        </w:trPr>
        <w:tc>
          <w:tcPr>
            <w:tcW w:w="2781" w:type="dxa"/>
            <w:shd w:val="clear" w:color="auto" w:fill="CCCCCC"/>
          </w:tcPr>
          <w:p w14:paraId="00000049"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00000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00000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000000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000000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000004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4B393F4B" w14:textId="77777777">
        <w:trPr>
          <w:trHeight w:val="420"/>
        </w:trPr>
        <w:tc>
          <w:tcPr>
            <w:tcW w:w="2781" w:type="dxa"/>
          </w:tcPr>
          <w:p w14:paraId="000000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000000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E3DFA75" w14:textId="77777777">
        <w:trPr>
          <w:trHeight w:val="420"/>
        </w:trPr>
        <w:tc>
          <w:tcPr>
            <w:tcW w:w="2781" w:type="dxa"/>
          </w:tcPr>
          <w:p w14:paraId="0000005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Conversion of a Single Family Dwelling existing at the time of the adoption of the ordinance (1954) into a Two Family Dwelling (see Section 3.5)</w:t>
            </w:r>
          </w:p>
        </w:tc>
        <w:tc>
          <w:tcPr>
            <w:tcW w:w="1390" w:type="dxa"/>
          </w:tcPr>
          <w:p w14:paraId="000000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ABE4F04" w14:textId="77777777">
        <w:trPr>
          <w:trHeight w:val="420"/>
        </w:trPr>
        <w:tc>
          <w:tcPr>
            <w:tcW w:w="2781" w:type="dxa"/>
          </w:tcPr>
          <w:p w14:paraId="000000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Open Space and Farmland Preservation Development (see Section 8.1)</w:t>
            </w:r>
          </w:p>
        </w:tc>
        <w:tc>
          <w:tcPr>
            <w:tcW w:w="1390" w:type="dxa"/>
          </w:tcPr>
          <w:p w14:paraId="000000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6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1EA37AD" w14:textId="77777777">
        <w:trPr>
          <w:trHeight w:val="420"/>
        </w:trPr>
        <w:tc>
          <w:tcPr>
            <w:tcW w:w="2781" w:type="dxa"/>
          </w:tcPr>
          <w:p w14:paraId="0000006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Senior Housing (see Section 8.2)</w:t>
            </w:r>
          </w:p>
        </w:tc>
        <w:tc>
          <w:tcPr>
            <w:tcW w:w="1390" w:type="dxa"/>
          </w:tcPr>
          <w:p w14:paraId="0000006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6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166BEEB" w14:textId="77777777">
        <w:trPr>
          <w:trHeight w:val="420"/>
        </w:trPr>
        <w:tc>
          <w:tcPr>
            <w:tcW w:w="2781" w:type="dxa"/>
          </w:tcPr>
          <w:p w14:paraId="000000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0000006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6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6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DB6F364" w14:textId="77777777">
        <w:trPr>
          <w:trHeight w:val="420"/>
        </w:trPr>
        <w:tc>
          <w:tcPr>
            <w:tcW w:w="2781" w:type="dxa"/>
          </w:tcPr>
          <w:p w14:paraId="0000006D" w14:textId="5226789E"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the requirements of Section 9.8.5 in the Town Center District</w:t>
            </w:r>
          </w:p>
        </w:tc>
        <w:tc>
          <w:tcPr>
            <w:tcW w:w="1390" w:type="dxa"/>
          </w:tcPr>
          <w:p w14:paraId="0000006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6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EA4421B" w14:textId="77777777">
        <w:trPr>
          <w:trHeight w:val="420"/>
        </w:trPr>
        <w:tc>
          <w:tcPr>
            <w:tcW w:w="2781" w:type="dxa"/>
          </w:tcPr>
          <w:p w14:paraId="0000007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000000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E88EC89" w14:textId="77777777">
        <w:trPr>
          <w:trHeight w:val="420"/>
        </w:trPr>
        <w:tc>
          <w:tcPr>
            <w:tcW w:w="2781" w:type="dxa"/>
          </w:tcPr>
          <w:p w14:paraId="00000079"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8</w:t>
            </w:r>
            <w:r>
              <w:rPr>
                <w:rFonts w:ascii="Times New Roman" w:eastAsia="Times New Roman" w:hAnsi="Times New Roman" w:cs="Times New Roman"/>
                <w:sz w:val="24"/>
                <w:szCs w:val="24"/>
                <w:u w:val="single"/>
              </w:rPr>
              <w:t>. Two-Family Dwelling</w:t>
            </w:r>
          </w:p>
        </w:tc>
        <w:tc>
          <w:tcPr>
            <w:tcW w:w="1390" w:type="dxa"/>
          </w:tcPr>
          <w:p w14:paraId="00000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5E71ECE" w14:textId="77777777">
        <w:trPr>
          <w:trHeight w:val="420"/>
        </w:trPr>
        <w:tc>
          <w:tcPr>
            <w:tcW w:w="2781" w:type="dxa"/>
          </w:tcPr>
          <w:p w14:paraId="0000007F"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Multi-Family Dwelling</w:t>
            </w:r>
          </w:p>
        </w:tc>
        <w:tc>
          <w:tcPr>
            <w:tcW w:w="1390" w:type="dxa"/>
          </w:tcPr>
          <w:p w14:paraId="000000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8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8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E95B947" w14:textId="77777777">
        <w:trPr>
          <w:trHeight w:val="420"/>
        </w:trPr>
        <w:tc>
          <w:tcPr>
            <w:tcW w:w="2781" w:type="dxa"/>
            <w:shd w:val="clear" w:color="auto" w:fill="CCCCCC"/>
          </w:tcPr>
          <w:p w14:paraId="00000085"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000000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00000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000000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000000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00000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0F1969B" w14:textId="77777777">
        <w:trPr>
          <w:trHeight w:val="420"/>
        </w:trPr>
        <w:tc>
          <w:tcPr>
            <w:tcW w:w="2781" w:type="dxa"/>
          </w:tcPr>
          <w:p w14:paraId="0000008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000000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000000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000000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F2BB2E3" w14:textId="77777777">
        <w:trPr>
          <w:trHeight w:val="420"/>
        </w:trPr>
        <w:tc>
          <w:tcPr>
            <w:tcW w:w="2781" w:type="dxa"/>
          </w:tcPr>
          <w:p w14:paraId="000000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000000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A7AB4F6" w14:textId="77777777">
        <w:trPr>
          <w:trHeight w:val="420"/>
        </w:trPr>
        <w:tc>
          <w:tcPr>
            <w:tcW w:w="2781" w:type="dxa"/>
          </w:tcPr>
          <w:p w14:paraId="00000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Commonwealth of Massachusetts or any of its agencies, subdivisions or bodies politic or by a religious sect or denomination, or by a nonprofit educational corporation </w:t>
            </w:r>
          </w:p>
        </w:tc>
        <w:tc>
          <w:tcPr>
            <w:tcW w:w="1390" w:type="dxa"/>
          </w:tcPr>
          <w:p w14:paraId="000000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9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07D1D01" w14:textId="77777777">
        <w:trPr>
          <w:trHeight w:val="420"/>
        </w:trPr>
        <w:tc>
          <w:tcPr>
            <w:tcW w:w="2781" w:type="dxa"/>
          </w:tcPr>
          <w:p w14:paraId="000000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000000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A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ACE8ED3" w14:textId="77777777">
        <w:trPr>
          <w:trHeight w:val="420"/>
        </w:trPr>
        <w:tc>
          <w:tcPr>
            <w:tcW w:w="2781" w:type="dxa"/>
          </w:tcPr>
          <w:p w14:paraId="00000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000000A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149F7DD" w14:textId="77777777">
        <w:trPr>
          <w:trHeight w:val="420"/>
        </w:trPr>
        <w:tc>
          <w:tcPr>
            <w:tcW w:w="2781" w:type="dxa"/>
          </w:tcPr>
          <w:p w14:paraId="000000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000000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A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DB6B081" w14:textId="77777777">
        <w:trPr>
          <w:trHeight w:val="420"/>
        </w:trPr>
        <w:tc>
          <w:tcPr>
            <w:tcW w:w="2781" w:type="dxa"/>
          </w:tcPr>
          <w:p w14:paraId="000000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00000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B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B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B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49E08D3" w14:textId="77777777">
        <w:trPr>
          <w:trHeight w:val="420"/>
        </w:trPr>
        <w:tc>
          <w:tcPr>
            <w:tcW w:w="2781" w:type="dxa"/>
          </w:tcPr>
          <w:p w14:paraId="00000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Outdoors </w:t>
            </w:r>
          </w:p>
        </w:tc>
        <w:tc>
          <w:tcPr>
            <w:tcW w:w="1390" w:type="dxa"/>
          </w:tcPr>
          <w:p w14:paraId="000000B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B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4DC556D3" w14:textId="77777777">
        <w:trPr>
          <w:trHeight w:val="420"/>
        </w:trPr>
        <w:tc>
          <w:tcPr>
            <w:tcW w:w="2781" w:type="dxa"/>
          </w:tcPr>
          <w:p w14:paraId="000000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000000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00000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00000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00000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26A0C421" w14:textId="77777777">
        <w:trPr>
          <w:trHeight w:val="420"/>
        </w:trPr>
        <w:tc>
          <w:tcPr>
            <w:tcW w:w="2781" w:type="dxa"/>
          </w:tcPr>
          <w:p w14:paraId="000000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000000C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090F9EA" w14:textId="77777777">
        <w:trPr>
          <w:trHeight w:val="420"/>
        </w:trPr>
        <w:tc>
          <w:tcPr>
            <w:tcW w:w="2781" w:type="dxa"/>
          </w:tcPr>
          <w:p w14:paraId="000000C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000000C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C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C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C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C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4D023E7" w14:textId="77777777">
        <w:trPr>
          <w:trHeight w:val="420"/>
        </w:trPr>
        <w:tc>
          <w:tcPr>
            <w:tcW w:w="2781" w:type="dxa"/>
            <w:shd w:val="clear" w:color="auto" w:fill="CCCCCC"/>
          </w:tcPr>
          <w:p w14:paraId="000000CF"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000000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00000D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000000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000000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00000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4FFE40F7" w14:textId="77777777">
        <w:trPr>
          <w:trHeight w:val="420"/>
        </w:trPr>
        <w:tc>
          <w:tcPr>
            <w:tcW w:w="2781" w:type="dxa"/>
          </w:tcPr>
          <w:p w14:paraId="000000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On parcels five (5) acres or more, or two (2) Qualified Acres or more: agriculture, horticulture and floriculture</w:t>
            </w:r>
          </w:p>
        </w:tc>
        <w:tc>
          <w:tcPr>
            <w:tcW w:w="1390" w:type="dxa"/>
          </w:tcPr>
          <w:p w14:paraId="000000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D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80F262F" w14:textId="77777777">
        <w:trPr>
          <w:trHeight w:val="420"/>
        </w:trPr>
        <w:tc>
          <w:tcPr>
            <w:tcW w:w="2781" w:type="dxa"/>
          </w:tcPr>
          <w:p w14:paraId="000000D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Gardens; riding stables; growing and storing of fruits, berries, vegetables, hay, fodder and ensilage; woodlots; forestry; and greenhouses</w:t>
            </w:r>
          </w:p>
        </w:tc>
        <w:tc>
          <w:tcPr>
            <w:tcW w:w="1390" w:type="dxa"/>
          </w:tcPr>
          <w:p w14:paraId="000000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2838CCD7" w14:textId="77777777">
        <w:trPr>
          <w:trHeight w:val="420"/>
        </w:trPr>
        <w:tc>
          <w:tcPr>
            <w:tcW w:w="2781" w:type="dxa"/>
          </w:tcPr>
          <w:p w14:paraId="000000E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000000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E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0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26171FEF" w14:textId="77777777">
        <w:trPr>
          <w:trHeight w:val="420"/>
        </w:trPr>
        <w:tc>
          <w:tcPr>
            <w:tcW w:w="2781" w:type="dxa"/>
            <w:shd w:val="clear" w:color="auto" w:fill="CCCCCC"/>
          </w:tcPr>
          <w:p w14:paraId="000000E7"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000000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00000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000000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000000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00000E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030E6C5" w14:textId="77777777">
        <w:trPr>
          <w:trHeight w:val="420"/>
        </w:trPr>
        <w:tc>
          <w:tcPr>
            <w:tcW w:w="2781" w:type="dxa"/>
          </w:tcPr>
          <w:p w14:paraId="000000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000000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F11F054" w14:textId="77777777">
        <w:trPr>
          <w:trHeight w:val="420"/>
        </w:trPr>
        <w:tc>
          <w:tcPr>
            <w:tcW w:w="2781" w:type="dxa"/>
          </w:tcPr>
          <w:p w14:paraId="000000F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00000F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0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E3D9B68" w14:textId="77777777">
        <w:trPr>
          <w:trHeight w:val="420"/>
        </w:trPr>
        <w:tc>
          <w:tcPr>
            <w:tcW w:w="2781" w:type="dxa"/>
          </w:tcPr>
          <w:p w14:paraId="000000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000000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F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0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0F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C7FDD45" w14:textId="77777777">
        <w:trPr>
          <w:trHeight w:val="420"/>
        </w:trPr>
        <w:tc>
          <w:tcPr>
            <w:tcW w:w="2781" w:type="dxa"/>
          </w:tcPr>
          <w:p w14:paraId="00000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00000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0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0585689" w14:textId="77777777">
        <w:trPr>
          <w:trHeight w:val="420"/>
        </w:trPr>
        <w:tc>
          <w:tcPr>
            <w:tcW w:w="2781" w:type="dxa"/>
          </w:tcPr>
          <w:p w14:paraId="000001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000010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07FCC800" w14:textId="77777777">
        <w:trPr>
          <w:trHeight w:val="420"/>
        </w:trPr>
        <w:tc>
          <w:tcPr>
            <w:tcW w:w="2781" w:type="dxa"/>
          </w:tcPr>
          <w:p w14:paraId="0000010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000001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0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0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914FCA" w14:textId="77777777">
        <w:trPr>
          <w:trHeight w:val="420"/>
        </w:trPr>
        <w:tc>
          <w:tcPr>
            <w:tcW w:w="2781" w:type="dxa"/>
          </w:tcPr>
          <w:p w14:paraId="000001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00001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1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6CAEBD2A" w14:textId="77777777">
        <w:trPr>
          <w:trHeight w:val="420"/>
        </w:trPr>
        <w:tc>
          <w:tcPr>
            <w:tcW w:w="2781" w:type="dxa"/>
          </w:tcPr>
          <w:p w14:paraId="000001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0000011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69BEAB9" w14:textId="77777777">
        <w:trPr>
          <w:trHeight w:val="420"/>
        </w:trPr>
        <w:tc>
          <w:tcPr>
            <w:tcW w:w="2781" w:type="dxa"/>
          </w:tcPr>
          <w:p w14:paraId="00000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Manufacturing of products sold on the premises at retail, where no more than five operators are employed in such manufacture</w:t>
            </w:r>
          </w:p>
        </w:tc>
        <w:tc>
          <w:tcPr>
            <w:tcW w:w="1390" w:type="dxa"/>
          </w:tcPr>
          <w:p w14:paraId="000001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688756E" w14:textId="77777777">
        <w:trPr>
          <w:trHeight w:val="420"/>
        </w:trPr>
        <w:tc>
          <w:tcPr>
            <w:tcW w:w="2781" w:type="dxa"/>
          </w:tcPr>
          <w:p w14:paraId="000001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Rail or bus station or terminal</w:t>
            </w:r>
          </w:p>
        </w:tc>
        <w:tc>
          <w:tcPr>
            <w:tcW w:w="1390" w:type="dxa"/>
          </w:tcPr>
          <w:p w14:paraId="0000012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C0DB59B" w14:textId="77777777">
        <w:trPr>
          <w:trHeight w:val="420"/>
        </w:trPr>
        <w:tc>
          <w:tcPr>
            <w:tcW w:w="2781" w:type="dxa"/>
          </w:tcPr>
          <w:p w14:paraId="000001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000001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2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4FCE170" w14:textId="77777777">
        <w:trPr>
          <w:trHeight w:val="420"/>
        </w:trPr>
        <w:tc>
          <w:tcPr>
            <w:tcW w:w="2781" w:type="dxa"/>
          </w:tcPr>
          <w:p w14:paraId="000001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00001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3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3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614F44" w14:textId="77777777">
        <w:trPr>
          <w:trHeight w:val="420"/>
        </w:trPr>
        <w:tc>
          <w:tcPr>
            <w:tcW w:w="2781" w:type="dxa"/>
          </w:tcPr>
          <w:p w14:paraId="000001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00001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42ACBC7" w14:textId="77777777">
        <w:trPr>
          <w:trHeight w:val="420"/>
        </w:trPr>
        <w:tc>
          <w:tcPr>
            <w:tcW w:w="2781" w:type="dxa"/>
          </w:tcPr>
          <w:p w14:paraId="000001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00001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8D87698" w14:textId="77777777">
        <w:trPr>
          <w:trHeight w:val="420"/>
        </w:trPr>
        <w:tc>
          <w:tcPr>
            <w:tcW w:w="2781" w:type="dxa"/>
          </w:tcPr>
          <w:p w14:paraId="000001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0000014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4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4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34A953E" w14:textId="77777777">
        <w:trPr>
          <w:trHeight w:val="420"/>
        </w:trPr>
        <w:tc>
          <w:tcPr>
            <w:tcW w:w="2781" w:type="dxa"/>
          </w:tcPr>
          <w:p w14:paraId="000001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000001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F4C0DD7" w14:textId="77777777">
        <w:trPr>
          <w:trHeight w:val="420"/>
        </w:trPr>
        <w:tc>
          <w:tcPr>
            <w:tcW w:w="2781" w:type="dxa"/>
          </w:tcPr>
          <w:p w14:paraId="00000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000014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5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03BBD24B" w14:textId="77777777">
        <w:trPr>
          <w:trHeight w:val="420"/>
        </w:trPr>
        <w:tc>
          <w:tcPr>
            <w:tcW w:w="2781" w:type="dxa"/>
          </w:tcPr>
          <w:p w14:paraId="000001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000001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5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5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77F41EA" w14:textId="77777777">
        <w:trPr>
          <w:trHeight w:val="420"/>
        </w:trPr>
        <w:tc>
          <w:tcPr>
            <w:tcW w:w="2781" w:type="dxa"/>
          </w:tcPr>
          <w:p w14:paraId="0000015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000001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8109077" w14:textId="77777777">
        <w:trPr>
          <w:trHeight w:val="420"/>
        </w:trPr>
        <w:tc>
          <w:tcPr>
            <w:tcW w:w="2781" w:type="dxa"/>
          </w:tcPr>
          <w:p w14:paraId="000001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0000016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E82F2A2" w14:textId="77777777">
        <w:trPr>
          <w:trHeight w:val="420"/>
        </w:trPr>
        <w:tc>
          <w:tcPr>
            <w:tcW w:w="2781" w:type="dxa"/>
          </w:tcPr>
          <w:p w14:paraId="00000165" w14:textId="4D34B8CB"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Development, subject to Site Plan Review </w:t>
            </w:r>
            <w:r w:rsidR="00185B14">
              <w:rPr>
                <w:rFonts w:ascii="Times New Roman" w:eastAsia="Times New Roman" w:hAnsi="Times New Roman" w:cs="Times New Roman"/>
                <w:sz w:val="24"/>
                <w:szCs w:val="24"/>
              </w:rPr>
              <w:t>and the requirements of Section 9.8.5</w:t>
            </w:r>
            <w:r w:rsidR="008317DA">
              <w:rPr>
                <w:rFonts w:ascii="Times New Roman" w:eastAsia="Times New Roman" w:hAnsi="Times New Roman" w:cs="Times New Roman"/>
                <w:sz w:val="24"/>
                <w:szCs w:val="24"/>
              </w:rPr>
              <w:t xml:space="preserve"> in the Town Center District</w:t>
            </w:r>
          </w:p>
        </w:tc>
        <w:tc>
          <w:tcPr>
            <w:tcW w:w="1390" w:type="dxa"/>
          </w:tcPr>
          <w:p w14:paraId="00000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00001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6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0A2FCAE" w14:textId="77777777">
        <w:trPr>
          <w:trHeight w:val="420"/>
        </w:trPr>
        <w:tc>
          <w:tcPr>
            <w:tcW w:w="2781" w:type="dxa"/>
          </w:tcPr>
          <w:p w14:paraId="0000016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Drive-In or Drive-Through Establishment</w:t>
            </w:r>
          </w:p>
        </w:tc>
        <w:tc>
          <w:tcPr>
            <w:tcW w:w="1390" w:type="dxa"/>
          </w:tcPr>
          <w:p w14:paraId="000001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00016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6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6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C47228" w14:textId="77777777">
        <w:trPr>
          <w:trHeight w:val="420"/>
        </w:trPr>
        <w:tc>
          <w:tcPr>
            <w:tcW w:w="2781" w:type="dxa"/>
          </w:tcPr>
          <w:p w14:paraId="000001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000001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7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000017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565C454B" w14:textId="77777777">
        <w:trPr>
          <w:trHeight w:val="420"/>
        </w:trPr>
        <w:tc>
          <w:tcPr>
            <w:tcW w:w="2781" w:type="dxa"/>
          </w:tcPr>
          <w:p w14:paraId="000001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 </w:t>
            </w:r>
            <w:r>
              <w:rPr>
                <w:rFonts w:ascii="Times New Roman" w:eastAsia="Times New Roman" w:hAnsi="Times New Roman" w:cs="Times New Roman"/>
                <w:sz w:val="24"/>
                <w:szCs w:val="24"/>
              </w:rPr>
              <w:t>Marijuana Establishment</w:t>
            </w:r>
          </w:p>
        </w:tc>
        <w:tc>
          <w:tcPr>
            <w:tcW w:w="1390" w:type="dxa"/>
          </w:tcPr>
          <w:p w14:paraId="000001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001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CDB2324" w14:textId="77777777">
        <w:trPr>
          <w:trHeight w:val="420"/>
        </w:trPr>
        <w:tc>
          <w:tcPr>
            <w:tcW w:w="2781" w:type="dxa"/>
            <w:shd w:val="clear" w:color="auto" w:fill="CCCCCC"/>
          </w:tcPr>
          <w:p w14:paraId="0000017D"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000001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000017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000001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000001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000018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DFEE32"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00000183"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Up to three boarders in a Single Family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0000018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000018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000018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000018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000018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2C1F75D"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89" w14:textId="42A8430E"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8A" w14:textId="3AB8E641"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8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8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8E"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6873C712"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E073BD" w14:textId="78E19F30"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7C4C498" w14:textId="7D37FD89"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B6D821" w14:textId="3535E40D"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8E4CD2" w14:textId="50D374CB"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D25DE2B" w14:textId="3B11BFFE"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0C8F534" w14:textId="28F4A8D1"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63B86B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8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9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4AC3C2D"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9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E8D636F"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9B"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Uses, whether or not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E"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9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2C986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A1"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A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6DF83A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A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A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7CA8E8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AD"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AE"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0CA003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B3"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0765862"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B9"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B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BE"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57294F6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0001B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0001C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C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C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0001C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000001C5"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6" w:name="_heading=h.du98uzhnl9st" w:colFirst="0" w:colLast="0"/>
      <w:bookmarkEnd w:id="6"/>
    </w:p>
    <w:p w14:paraId="58CD3390" w14:textId="1D4EA446" w:rsidR="00AB4635" w:rsidRDefault="00AB4635">
      <w:pPr>
        <w:tabs>
          <w:tab w:val="left" w:pos="720"/>
        </w:tabs>
        <w:spacing w:line="276" w:lineRule="auto"/>
        <w:rPr>
          <w:rFonts w:ascii="Times New Roman" w:eastAsia="Times New Roman" w:hAnsi="Times New Roman" w:cs="Times New Roman"/>
          <w:b/>
          <w:sz w:val="24"/>
          <w:szCs w:val="24"/>
        </w:rPr>
      </w:pPr>
    </w:p>
    <w:p w14:paraId="3194DCD2"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000001C6" w14:textId="44BD69E9"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000001C7"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000001C8"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R-1A, R-1B, RA, Bay Road Mixed-Use, Willow Street Mixed-Use and Downtown Residential sub-districts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Residence </w:t>
      </w:r>
      <w:r>
        <w:rPr>
          <w:rFonts w:ascii="Times New Roman" w:eastAsia="Times New Roman" w:hAnsi="Times New Roman" w:cs="Times New Roman"/>
          <w:sz w:val="24"/>
          <w:szCs w:val="24"/>
          <w:u w:val="single"/>
        </w:rPr>
        <w:t>R-1A, R-1B, RA, Bay Road Mixed-Use, Willow Street Mixed-Use and Downtown Residential</w:t>
      </w:r>
      <w:r>
        <w:rPr>
          <w:rFonts w:ascii="Times New Roman" w:eastAsia="Times New Roman" w:hAnsi="Times New Roman" w:cs="Times New Roman"/>
          <w:sz w:val="24"/>
          <w:szCs w:val="24"/>
        </w:rPr>
        <w:t xml:space="preserve"> Districts:</w:t>
      </w:r>
    </w:p>
    <w:p w14:paraId="000001C9" w14:textId="77777777" w:rsidR="0051317C" w:rsidRDefault="0051317C">
      <w:pPr>
        <w:tabs>
          <w:tab w:val="left" w:pos="6480"/>
        </w:tabs>
        <w:spacing w:line="276" w:lineRule="auto"/>
        <w:rPr>
          <w:rFonts w:ascii="Times New Roman" w:eastAsia="Times New Roman" w:hAnsi="Times New Roman" w:cs="Times New Roman"/>
          <w:sz w:val="24"/>
          <w:szCs w:val="24"/>
        </w:rPr>
      </w:pPr>
    </w:p>
    <w:p w14:paraId="000001CA"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 xml:space="preserve">Business </w:t>
      </w:r>
      <w:r>
        <w:rPr>
          <w:rFonts w:ascii="Times New Roman" w:eastAsia="Times New Roman" w:hAnsi="Times New Roman" w:cs="Times New Roman"/>
          <w:b/>
          <w:sz w:val="24"/>
          <w:szCs w:val="24"/>
          <w:u w:val="single"/>
        </w:rPr>
        <w:t>Depot Square and Bay Road Civic</w:t>
      </w:r>
      <w:r>
        <w:rPr>
          <w:rFonts w:ascii="Times New Roman" w:eastAsia="Times New Roman" w:hAnsi="Times New Roman" w:cs="Times New Roman"/>
          <w:b/>
          <w:sz w:val="24"/>
          <w:szCs w:val="24"/>
        </w:rPr>
        <w:t xml:space="preserve"> sub-districts of the Town Center District.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and Bay Road Civic sub-districts any use permitted as a Principal Use is also permitted as an Accessory Use provided such use is customarily incidental to the main or principal building or use of the land.</w:t>
      </w:r>
    </w:p>
    <w:p w14:paraId="000001CB" w14:textId="77777777" w:rsidR="0051317C" w:rsidRDefault="0051317C">
      <w:pPr>
        <w:tabs>
          <w:tab w:val="left" w:pos="6480"/>
        </w:tabs>
        <w:spacing w:line="276" w:lineRule="auto"/>
        <w:rPr>
          <w:rFonts w:ascii="Times New Roman" w:eastAsia="Times New Roman" w:hAnsi="Times New Roman" w:cs="Times New Roman"/>
          <w:sz w:val="24"/>
          <w:szCs w:val="24"/>
        </w:rPr>
      </w:pPr>
    </w:p>
    <w:p w14:paraId="000001CC"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00001CD"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4.1.2  Table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000001CE"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Pr>
          <w:rFonts w:ascii="Times New Roman" w:eastAsia="Times New Roman" w:hAnsi="Times New Roman" w:cs="Times New Roman"/>
          <w:b/>
          <w:sz w:val="24"/>
          <w:szCs w:val="24"/>
          <w:vertAlign w:val="subscript"/>
        </w:rPr>
        <w:t>1</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66D7741D"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000001CF"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0001D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000001D1"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0001D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0001D3"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0001D4"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728E5818"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D5"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D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D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D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D9"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9D68F92"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D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D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D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DD"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D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174EC1D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D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E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1"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E3"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36E0002"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E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E5"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E8"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6E033673"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E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E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ED"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0C4CBEEF"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E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E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1"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F2"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774592B0"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F4"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5"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6"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F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43196F2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000001F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00001F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00001F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00001FC"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000001FD" w14:textId="62B2F80C" w:rsidR="0051317C" w:rsidRPr="008317DA" w:rsidRDefault="009451E5">
      <w:pPr>
        <w:numPr>
          <w:ilvl w:val="0"/>
          <w:numId w:val="6"/>
        </w:numPr>
        <w:tabs>
          <w:tab w:val="left" w:pos="6480"/>
        </w:tabs>
        <w:spacing w:before="240" w:after="240" w:line="276" w:lineRule="auto"/>
      </w:pPr>
      <w:r>
        <w:rPr>
          <w:rFonts w:ascii="Times New Roman" w:eastAsia="Times New Roman" w:hAnsi="Times New Roman" w:cs="Times New Roman"/>
          <w:sz w:val="24"/>
          <w:szCs w:val="24"/>
          <w:u w:val="single"/>
        </w:rPr>
        <w:t>Dimensional Requirements for the Town Center District are found in Section 9.8 of the Zoning By-law.</w:t>
      </w:r>
    </w:p>
    <w:p w14:paraId="06E2C937" w14:textId="6759F2C5" w:rsidR="008317DA" w:rsidRPr="008317DA" w:rsidRDefault="008317DA" w:rsidP="008317DA">
      <w:pPr>
        <w:pStyle w:val="ListParagraph"/>
        <w:numPr>
          <w:ilvl w:val="0"/>
          <w:numId w:val="6"/>
        </w:numPr>
        <w:rPr>
          <w:rFonts w:ascii="Times New Roman" w:hAnsi="Times New Roman" w:cs="Times New Roman"/>
          <w:sz w:val="24"/>
          <w:szCs w:val="24"/>
        </w:rPr>
      </w:pPr>
      <w:r w:rsidRPr="008317DA">
        <w:rPr>
          <w:rFonts w:ascii="Times New Roman" w:hAnsi="Times New Roman" w:cs="Times New Roman"/>
          <w:sz w:val="24"/>
          <w:szCs w:val="24"/>
        </w:rPr>
        <w:t>Twenty-five (25) feet from the Street line, or fifty (50) feet from the Street center line, whichever is greater.</w:t>
      </w:r>
    </w:p>
    <w:p w14:paraId="000001F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000001FF"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2.   For a Building that contains a Dwelling Unit, 125 feet.  For all other uses, to be determined during site plan review.</w:t>
      </w:r>
    </w:p>
    <w:p w14:paraId="00000200"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08A7F1BD" w14:textId="02DCFCFB"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4.   Or as determined during site plan review. </w:t>
      </w:r>
    </w:p>
    <w:p w14:paraId="72E1DB28" w14:textId="1F001FB9"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00000203"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6.   For a Dwelling Unit, 15 feet.  For all other uses, to be determined during site plan review.</w:t>
      </w:r>
    </w:p>
    <w:p w14:paraId="31ABB394" w14:textId="3C2ED10D" w:rsidR="00617517" w:rsidRPr="00617517" w:rsidRDefault="00617517" w:rsidP="0009488C">
      <w:pPr>
        <w:pStyle w:val="Heading2"/>
        <w:pBdr>
          <w:top w:val="single" w:sz="4" w:space="1" w:color="auto"/>
          <w:left w:val="single" w:sz="4" w:space="4" w:color="auto"/>
          <w:bottom w:val="single" w:sz="4" w:space="1" w:color="auto"/>
          <w:right w:val="single" w:sz="4" w:space="4" w:color="auto"/>
        </w:pBdr>
        <w:spacing w:before="360" w:line="276" w:lineRule="auto"/>
        <w:ind w:left="0" w:firstLine="0"/>
        <w:rPr>
          <w:rFonts w:ascii="Times New Roman" w:eastAsia="Times New Roman" w:hAnsi="Times New Roman" w:cs="Times New Roman"/>
          <w:i/>
          <w:sz w:val="24"/>
          <w:szCs w:val="24"/>
        </w:rPr>
      </w:pPr>
      <w:bookmarkStart w:id="7" w:name="_heading=h.3xzufu9ms4ww" w:colFirst="0" w:colLast="0"/>
      <w:bookmarkEnd w:id="7"/>
      <w:r w:rsidRPr="00617517">
        <w:rPr>
          <w:rFonts w:ascii="Times New Roman" w:eastAsia="Times New Roman" w:hAnsi="Times New Roman" w:cs="Times New Roman"/>
          <w:i/>
          <w:sz w:val="24"/>
          <w:szCs w:val="24"/>
        </w:rPr>
        <w:t>Al</w:t>
      </w:r>
      <w:r>
        <w:rPr>
          <w:rFonts w:ascii="Times New Roman" w:eastAsia="Times New Roman" w:hAnsi="Times New Roman" w:cs="Times New Roman"/>
          <w:i/>
          <w:sz w:val="24"/>
          <w:szCs w:val="24"/>
        </w:rPr>
        <w:t>though many passages of Sections 5.3, 5.4, 5.5, 5.6, and 5.7</w:t>
      </w:r>
      <w:r w:rsidR="0009488C">
        <w:rPr>
          <w:rFonts w:ascii="Times New Roman" w:eastAsia="Times New Roman" w:hAnsi="Times New Roman" w:cs="Times New Roman"/>
          <w:i/>
          <w:sz w:val="24"/>
          <w:szCs w:val="24"/>
        </w:rPr>
        <w:t xml:space="preserve">, under Section 5.0 Nonconforming Uses and Structures, </w:t>
      </w:r>
      <w:r>
        <w:rPr>
          <w:rFonts w:ascii="Times New Roman" w:eastAsia="Times New Roman" w:hAnsi="Times New Roman" w:cs="Times New Roman"/>
          <w:i/>
          <w:sz w:val="24"/>
          <w:szCs w:val="24"/>
        </w:rPr>
        <w:t>are not proposed for revision, the</w:t>
      </w:r>
      <w:r w:rsidR="00BB6D16">
        <w:rPr>
          <w:rFonts w:ascii="Times New Roman" w:eastAsia="Times New Roman" w:hAnsi="Times New Roman" w:cs="Times New Roman"/>
          <w:i/>
          <w:sz w:val="24"/>
          <w:szCs w:val="24"/>
        </w:rPr>
        <w:t>se</w:t>
      </w:r>
      <w:r>
        <w:rPr>
          <w:rFonts w:ascii="Times New Roman" w:eastAsia="Times New Roman" w:hAnsi="Times New Roman" w:cs="Times New Roman"/>
          <w:i/>
          <w:sz w:val="24"/>
          <w:szCs w:val="24"/>
        </w:rPr>
        <w:t xml:space="preserve"> Sectio</w:t>
      </w:r>
      <w:r w:rsidR="00BB6D16">
        <w:rPr>
          <w:rFonts w:ascii="Times New Roman" w:eastAsia="Times New Roman" w:hAnsi="Times New Roman" w:cs="Times New Roman"/>
          <w:i/>
          <w:sz w:val="24"/>
          <w:szCs w:val="24"/>
        </w:rPr>
        <w:t>ns</w:t>
      </w:r>
      <w:r>
        <w:rPr>
          <w:rFonts w:ascii="Times New Roman" w:eastAsia="Times New Roman" w:hAnsi="Times New Roman" w:cs="Times New Roman"/>
          <w:i/>
          <w:sz w:val="24"/>
          <w:szCs w:val="24"/>
        </w:rPr>
        <w:t xml:space="preserve"> </w:t>
      </w:r>
      <w:r w:rsidR="00BB6D16">
        <w:rPr>
          <w:rFonts w:ascii="Times New Roman" w:eastAsia="Times New Roman" w:hAnsi="Times New Roman" w:cs="Times New Roman"/>
          <w:i/>
          <w:sz w:val="24"/>
          <w:szCs w:val="24"/>
        </w:rPr>
        <w:t>are</w:t>
      </w:r>
      <w:r>
        <w:rPr>
          <w:rFonts w:ascii="Times New Roman" w:eastAsia="Times New Roman" w:hAnsi="Times New Roman" w:cs="Times New Roman"/>
          <w:i/>
          <w:sz w:val="24"/>
          <w:szCs w:val="24"/>
        </w:rPr>
        <w:t xml:space="preserve"> shown in </w:t>
      </w:r>
      <w:r w:rsidR="00BB6D16">
        <w:rPr>
          <w:rFonts w:ascii="Times New Roman" w:eastAsia="Times New Roman" w:hAnsi="Times New Roman" w:cs="Times New Roman"/>
          <w:i/>
          <w:sz w:val="24"/>
          <w:szCs w:val="24"/>
        </w:rPr>
        <w:t xml:space="preserve">their </w:t>
      </w:r>
      <w:r>
        <w:rPr>
          <w:rFonts w:ascii="Times New Roman" w:eastAsia="Times New Roman" w:hAnsi="Times New Roman" w:cs="Times New Roman"/>
          <w:i/>
          <w:sz w:val="24"/>
          <w:szCs w:val="24"/>
        </w:rPr>
        <w:t xml:space="preserve">entirety to provide context to the reader. </w:t>
      </w:r>
      <w:r w:rsidR="0009488C">
        <w:rPr>
          <w:rFonts w:ascii="Times New Roman" w:eastAsia="Times New Roman" w:hAnsi="Times New Roman" w:cs="Times New Roman"/>
          <w:i/>
          <w:sz w:val="24"/>
          <w:szCs w:val="24"/>
        </w:rPr>
        <w:t>Additional clarifying information regarding the proposed modifications to this Section has been provided by Utile Associates and is available for review on</w:t>
      </w:r>
      <w:r w:rsidR="00BB6D16">
        <w:rPr>
          <w:rFonts w:ascii="Times New Roman" w:eastAsia="Times New Roman" w:hAnsi="Times New Roman" w:cs="Times New Roman"/>
          <w:i/>
          <w:sz w:val="24"/>
          <w:szCs w:val="24"/>
        </w:rPr>
        <w:t xml:space="preserve"> the town website under ‘Draft Town Center &amp; MBTA Communities Compliant Zoning.’</w:t>
      </w:r>
      <w:r w:rsidR="0009488C">
        <w:rPr>
          <w:rFonts w:ascii="Times New Roman" w:eastAsia="Times New Roman" w:hAnsi="Times New Roman" w:cs="Times New Roman"/>
          <w:i/>
          <w:sz w:val="24"/>
          <w:szCs w:val="24"/>
        </w:rPr>
        <w:t xml:space="preserve"> </w:t>
      </w:r>
    </w:p>
    <w:p w14:paraId="00000204" w14:textId="3A0A2149" w:rsidR="0051317C" w:rsidRPr="00AA1EE9" w:rsidRDefault="00AA1EE9">
      <w:pPr>
        <w:pStyle w:val="Heading2"/>
        <w:spacing w:before="360" w:line="276" w:lineRule="auto"/>
        <w:ind w:left="0" w:firstLine="0"/>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5.3 NONCONFORMING STRUCTURES.</w:t>
      </w:r>
      <w:r w:rsidR="009451E5" w:rsidRPr="00AA1EE9">
        <w:rPr>
          <w:rFonts w:ascii="Times New Roman" w:eastAsia="Times New Roman" w:hAnsi="Times New Roman" w:cs="Times New Roman"/>
          <w:sz w:val="24"/>
          <w:szCs w:val="24"/>
        </w:rPr>
        <w:t xml:space="preserve"> The Zoning Board of Appeals may by Finding allow a change to a nonconforming Structure in accordance with this Section only if it determines that such change shall not be substantially more detrimental than the existing nonconforming Structure to the neighborhood. </w:t>
      </w:r>
    </w:p>
    <w:p w14:paraId="00000205" w14:textId="77777777" w:rsidR="0051317C" w:rsidRPr="00AA1EE9" w:rsidRDefault="009451E5">
      <w:pPr>
        <w:pStyle w:val="Heading2"/>
        <w:spacing w:before="240" w:after="240" w:line="276" w:lineRule="auto"/>
        <w:ind w:left="0" w:firstLine="0"/>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5.3.1  Eligible Changes.  The following types of changes to nonconforming Structures may be considered by the Zoning Board of Appeals:</w:t>
      </w:r>
    </w:p>
    <w:p w14:paraId="00000206" w14:textId="77777777" w:rsidR="0051317C" w:rsidRPr="00AA1EE9" w:rsidRDefault="009451E5">
      <w:pPr>
        <w:pStyle w:val="Heading2"/>
        <w:numPr>
          <w:ilvl w:val="0"/>
          <w:numId w:val="1"/>
        </w:numPr>
        <w:spacing w:before="240" w:after="0" w:line="276" w:lineRule="auto"/>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Reconstruction, extension or structural change; and</w:t>
      </w:r>
      <w:r w:rsidRPr="00AA1EE9">
        <w:rPr>
          <w:rFonts w:ascii="Times New Roman" w:eastAsia="Times New Roman" w:hAnsi="Times New Roman" w:cs="Times New Roman"/>
          <w:sz w:val="24"/>
          <w:szCs w:val="24"/>
        </w:rPr>
        <w:br/>
      </w:r>
    </w:p>
    <w:p w14:paraId="00000207" w14:textId="77777777" w:rsidR="0051317C" w:rsidRPr="00AA1EE9" w:rsidRDefault="009451E5">
      <w:pPr>
        <w:pStyle w:val="Heading2"/>
        <w:numPr>
          <w:ilvl w:val="0"/>
          <w:numId w:val="1"/>
        </w:numPr>
        <w:spacing w:before="0" w:after="240" w:line="276" w:lineRule="auto"/>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Alteration to provide for a substantially different purpose or for the same purpose in a substantially different manner or to a substantially greater extent.</w:t>
      </w:r>
    </w:p>
    <w:p w14:paraId="00000208" w14:textId="77777777" w:rsidR="0051317C" w:rsidRPr="00AA1EE9" w:rsidRDefault="009451E5">
      <w:pPr>
        <w:pStyle w:val="Heading2"/>
        <w:spacing w:before="240" w:after="240" w:line="276" w:lineRule="auto"/>
        <w:ind w:left="0" w:firstLine="0"/>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5.3.2  Variance Required.  Except as provided in Section 5.3.3</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 xml:space="preserve"> and 5.3.4,</w:t>
      </w:r>
      <w:r w:rsidRPr="00AA1EE9">
        <w:rPr>
          <w:rFonts w:ascii="Times New Roman" w:eastAsia="Times New Roman" w:hAnsi="Times New Roman" w:cs="Times New Roman"/>
          <w:sz w:val="24"/>
          <w:szCs w:val="24"/>
          <w:u w:val="single"/>
        </w:rPr>
        <w:t xml:space="preserve"> and 5.3.5,</w:t>
      </w:r>
      <w:r w:rsidRPr="00AA1EE9">
        <w:rPr>
          <w:rFonts w:ascii="Times New Roman" w:eastAsia="Times New Roman" w:hAnsi="Times New Roman" w:cs="Times New Roman"/>
          <w:sz w:val="24"/>
          <w:szCs w:val="24"/>
        </w:rPr>
        <w:t xml:space="preserve"> below, a variance from the Zoning Board of Appeals shall be required for:</w:t>
      </w:r>
    </w:p>
    <w:p w14:paraId="00000209" w14:textId="77777777" w:rsidR="0051317C" w:rsidRPr="00AA1EE9" w:rsidRDefault="009451E5">
      <w:pPr>
        <w:pStyle w:val="Heading2"/>
        <w:numPr>
          <w:ilvl w:val="0"/>
          <w:numId w:val="4"/>
        </w:numPr>
        <w:spacing w:before="240" w:after="0" w:line="276" w:lineRule="auto"/>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The change of a nonconforming Structure in such a manner as to increase an existing nonconformity or create a new nonconformity; and</w:t>
      </w:r>
      <w:r w:rsidRPr="00AA1EE9">
        <w:rPr>
          <w:rFonts w:ascii="Times New Roman" w:eastAsia="Times New Roman" w:hAnsi="Times New Roman" w:cs="Times New Roman"/>
          <w:sz w:val="24"/>
          <w:szCs w:val="24"/>
        </w:rPr>
        <w:br/>
      </w:r>
    </w:p>
    <w:p w14:paraId="0000020A" w14:textId="77777777" w:rsidR="0051317C" w:rsidRPr="00AA1EE9" w:rsidRDefault="009451E5">
      <w:pPr>
        <w:pStyle w:val="Heading2"/>
        <w:numPr>
          <w:ilvl w:val="0"/>
          <w:numId w:val="4"/>
        </w:numPr>
        <w:spacing w:before="0" w:after="240" w:line="276" w:lineRule="auto"/>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The extension of an exterior wall at or along the same nonconforming distance within a required Yard.</w:t>
      </w:r>
    </w:p>
    <w:p w14:paraId="0000020B" w14:textId="77777777" w:rsidR="0051317C" w:rsidRPr="00AA1EE9" w:rsidRDefault="009451E5">
      <w:pPr>
        <w:pStyle w:val="Heading2"/>
        <w:spacing w:before="240" w:after="240" w:line="276" w:lineRule="auto"/>
        <w:ind w:left="0" w:firstLine="0"/>
        <w:rPr>
          <w:rFonts w:ascii="Times New Roman" w:hAnsi="Times New Roman" w:cs="Times New Roman"/>
          <w:sz w:val="24"/>
          <w:szCs w:val="24"/>
          <w:u w:val="single"/>
        </w:rPr>
      </w:pPr>
      <w:r w:rsidRPr="00AA1EE9">
        <w:rPr>
          <w:rFonts w:ascii="Times New Roman" w:eastAsia="Times New Roman" w:hAnsi="Times New Roman" w:cs="Times New Roman"/>
          <w:sz w:val="24"/>
          <w:szCs w:val="24"/>
        </w:rPr>
        <w:t>5.3.3  Nonconforming Single</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 xml:space="preserve"> and Two</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Family Residential Structures.  Nonconforming Single</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 xml:space="preserve"> and Two</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Family Dwelling Structures may be changed only upon a determination by the Building Commissioner that such proposed change does not increase the nonconforming nature of said Structure by more than one hundred (100) percent of the Residential Gross Floor Area.</w:t>
      </w:r>
    </w:p>
    <w:p w14:paraId="6307C40E" w14:textId="676F68E5" w:rsidR="0009488C" w:rsidRDefault="009451E5" w:rsidP="0009488C">
      <w:pPr>
        <w:pStyle w:val="Heading2"/>
        <w:spacing w:before="240" w:after="240" w:line="276" w:lineRule="auto"/>
        <w:ind w:left="0" w:firstLine="0"/>
        <w:rPr>
          <w:rFonts w:ascii="Times New Roman" w:eastAsia="Times New Roman" w:hAnsi="Times New Roman" w:cs="Times New Roman"/>
          <w:sz w:val="24"/>
          <w:szCs w:val="24"/>
        </w:rPr>
      </w:pPr>
      <w:r w:rsidRPr="00AA1EE9">
        <w:rPr>
          <w:rFonts w:ascii="Times New Roman" w:eastAsia="Times New Roman" w:hAnsi="Times New Roman" w:cs="Times New Roman"/>
          <w:sz w:val="24"/>
          <w:szCs w:val="24"/>
        </w:rPr>
        <w:t>5.3.4.  Eligible Changes.  The following circumstances shall not be deemed to increase the nonconforming nature of Nonconforming Single</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 xml:space="preserve"> and Two</w:t>
      </w:r>
      <w:r w:rsidRPr="00AA1EE9">
        <w:rPr>
          <w:rFonts w:ascii="Times New Roman" w:eastAsia="Times New Roman" w:hAnsi="Times New Roman" w:cs="Times New Roman"/>
          <w:sz w:val="24"/>
          <w:szCs w:val="24"/>
          <w:u w:val="single"/>
        </w:rPr>
        <w:t>-</w:t>
      </w:r>
      <w:r w:rsidRPr="00AA1EE9">
        <w:rPr>
          <w:rFonts w:ascii="Times New Roman" w:eastAsia="Times New Roman" w:hAnsi="Times New Roman" w:cs="Times New Roman"/>
          <w:sz w:val="24"/>
          <w:szCs w:val="24"/>
        </w:rPr>
        <w:t>Family Dwelling Structures</w:t>
      </w:r>
      <w:r w:rsidR="0009488C">
        <w:rPr>
          <w:rFonts w:ascii="Times New Roman" w:eastAsia="Times New Roman" w:hAnsi="Times New Roman" w:cs="Times New Roman"/>
          <w:sz w:val="24"/>
          <w:szCs w:val="24"/>
        </w:rPr>
        <w:t xml:space="preserve"> </w:t>
      </w:r>
      <w:r w:rsidRPr="00AA1EE9">
        <w:rPr>
          <w:rFonts w:ascii="Times New Roman" w:eastAsia="Times New Roman" w:hAnsi="Times New Roman" w:cs="Times New Roman"/>
          <w:sz w:val="24"/>
          <w:szCs w:val="24"/>
        </w:rPr>
        <w:t>and the Building Commissioner may issue a building permit:</w:t>
      </w:r>
      <w:bookmarkStart w:id="8" w:name="_heading=h.j432ouq0y8nu" w:colFirst="0" w:colLast="0"/>
      <w:bookmarkEnd w:id="8"/>
    </w:p>
    <w:p w14:paraId="760EA473" w14:textId="7D8491BA" w:rsidR="0009488C" w:rsidRPr="00BB6D16" w:rsidRDefault="0009488C" w:rsidP="0009488C">
      <w:pPr>
        <w:pStyle w:val="Heading2"/>
        <w:keepNext w:val="0"/>
        <w:keepLines w:val="0"/>
        <w:numPr>
          <w:ilvl w:val="0"/>
          <w:numId w:val="8"/>
        </w:numPr>
        <w:spacing w:before="240" w:after="0"/>
        <w:textAlignment w:val="baseline"/>
        <w:rPr>
          <w:rFonts w:ascii="Times New Roman" w:hAnsi="Times New Roman" w:cs="Times New Roman"/>
          <w:color w:val="000000"/>
          <w:sz w:val="24"/>
          <w:szCs w:val="24"/>
        </w:rPr>
      </w:pPr>
      <w:r w:rsidRPr="00BB6D16">
        <w:rPr>
          <w:rFonts w:ascii="Times New Roman" w:hAnsi="Times New Roman" w:cs="Times New Roman"/>
          <w:bCs/>
          <w:color w:val="000000"/>
          <w:sz w:val="24"/>
          <w:szCs w:val="24"/>
          <w:u w:val="single"/>
        </w:rPr>
        <w:t>For Single- and Two-Family Residential Structures in all Districts:</w:t>
      </w:r>
      <w:r w:rsidRPr="00BB6D16">
        <w:rPr>
          <w:rFonts w:ascii="Times New Roman" w:hAnsi="Times New Roman" w:cs="Times New Roman"/>
          <w:bCs/>
          <w:color w:val="000000"/>
          <w:sz w:val="24"/>
          <w:szCs w:val="24"/>
          <w:u w:val="single"/>
        </w:rPr>
        <w:br/>
      </w:r>
    </w:p>
    <w:p w14:paraId="2AC7D60D" w14:textId="0DFD2056" w:rsidR="0009488C" w:rsidRPr="0009488C" w:rsidRDefault="0009488C" w:rsidP="0009488C">
      <w:pPr>
        <w:pStyle w:val="Heading2"/>
        <w:keepNext w:val="0"/>
        <w:keepLines w:val="0"/>
        <w:numPr>
          <w:ilvl w:val="1"/>
          <w:numId w:val="9"/>
        </w:numPr>
        <w:spacing w:before="0" w:after="0"/>
        <w:textAlignment w:val="baseline"/>
        <w:rPr>
          <w:rFonts w:ascii="Times New Roman" w:hAnsi="Times New Roman" w:cs="Times New Roman"/>
          <w:color w:val="000000"/>
          <w:sz w:val="24"/>
          <w:szCs w:val="24"/>
        </w:rPr>
      </w:pPr>
      <w:r w:rsidRPr="0009488C">
        <w:rPr>
          <w:rFonts w:ascii="Times New Roman" w:hAnsi="Times New Roman" w:cs="Times New Roman"/>
          <w:bCs/>
          <w:color w:val="000000"/>
          <w:sz w:val="24"/>
          <w:szCs w:val="24"/>
        </w:rPr>
        <w:t>The existing Structure is on a conforming Lot but is nonconforming because it encroaches on a setback and the proposed alteration or extension will not change the setback which fails to conform, and the entire structure meets all other requirements of this By-law including but not limited to height and Lot coverage.</w:t>
      </w:r>
      <w:r w:rsidRPr="0009488C">
        <w:rPr>
          <w:rFonts w:ascii="Times New Roman" w:hAnsi="Times New Roman" w:cs="Times New Roman"/>
          <w:bCs/>
          <w:color w:val="000000"/>
          <w:sz w:val="24"/>
          <w:szCs w:val="24"/>
        </w:rPr>
        <w:br/>
      </w:r>
    </w:p>
    <w:p w14:paraId="121A4354" w14:textId="7CFBE11A" w:rsidR="0009488C" w:rsidRDefault="0009488C" w:rsidP="0009488C">
      <w:pPr>
        <w:pStyle w:val="Heading2"/>
        <w:keepNext w:val="0"/>
        <w:keepLines w:val="0"/>
        <w:numPr>
          <w:ilvl w:val="1"/>
          <w:numId w:val="9"/>
        </w:numPr>
        <w:spacing w:before="0" w:after="0"/>
        <w:textAlignment w:val="baseline"/>
        <w:rPr>
          <w:rFonts w:ascii="Times New Roman" w:hAnsi="Times New Roman" w:cs="Times New Roman"/>
          <w:bCs/>
          <w:color w:val="000000"/>
          <w:sz w:val="24"/>
          <w:szCs w:val="24"/>
        </w:rPr>
      </w:pPr>
      <w:r w:rsidRPr="0009488C">
        <w:rPr>
          <w:rFonts w:ascii="Times New Roman" w:hAnsi="Times New Roman" w:cs="Times New Roman"/>
          <w:bCs/>
          <w:color w:val="000000"/>
          <w:sz w:val="24"/>
          <w:szCs w:val="24"/>
        </w:rPr>
        <w:t>The existing Structure is nonconforming solely because it is located on a Lot which is nonconforming as to size and/or Lot Frontage as the result of a zoning change, and the existing Structure and proposed alteration or extension meets all other current requirements of the By-law including but not limited to setbacks, height and Lot coverage.</w:t>
      </w:r>
    </w:p>
    <w:p w14:paraId="65F7A2DF" w14:textId="77777777" w:rsidR="00BB6D16" w:rsidRPr="00BB6D16" w:rsidRDefault="00BB6D16" w:rsidP="00BB6D16"/>
    <w:p w14:paraId="38180DDB" w14:textId="5FB0863A" w:rsidR="0009488C" w:rsidRPr="0009488C" w:rsidRDefault="0009488C" w:rsidP="0009488C">
      <w:pPr>
        <w:pStyle w:val="Heading2"/>
        <w:keepNext w:val="0"/>
        <w:keepLines w:val="0"/>
        <w:numPr>
          <w:ilvl w:val="1"/>
          <w:numId w:val="9"/>
        </w:numPr>
        <w:spacing w:before="0" w:after="0"/>
        <w:textAlignment w:val="baseline"/>
        <w:rPr>
          <w:color w:val="000000"/>
        </w:rPr>
      </w:pPr>
      <w:r w:rsidRPr="0009488C">
        <w:rPr>
          <w:rFonts w:ascii="Times New Roman" w:hAnsi="Times New Roman" w:cs="Times New Roman"/>
          <w:color w:val="000000"/>
          <w:sz w:val="24"/>
          <w:szCs w:val="24"/>
        </w:rPr>
        <w:t>The existing Structure is a residence in a district where residences are permitted, the Structure is situated on a nonconforming Lot or has nonconforming Yards, and the proposed alteration or extension is a reconstruction or repair which does not change the Lot size or Yards which fail to conform.  For the purposes of this subsection only, the term “reconstruction” shall not include the voluntary demolition of such Structure and its rebuilding. See Section 5.5.</w:t>
      </w:r>
      <w:r w:rsidRPr="0009488C">
        <w:rPr>
          <w:strike/>
          <w:color w:val="000000"/>
        </w:rPr>
        <w:br/>
      </w:r>
    </w:p>
    <w:p w14:paraId="00000211" w14:textId="4E179660" w:rsidR="0051317C" w:rsidRDefault="009451E5" w:rsidP="0009488C">
      <w:pPr>
        <w:pStyle w:val="Heading2"/>
        <w:numPr>
          <w:ilvl w:val="0"/>
          <w:numId w:val="9"/>
        </w:numPr>
        <w:spacing w:before="0" w:after="0" w:line="276" w:lineRule="auto"/>
        <w:rPr>
          <w:rFonts w:ascii="Times New Roman" w:eastAsia="Times New Roman" w:hAnsi="Times New Roman" w:cs="Times New Roman"/>
          <w:sz w:val="24"/>
          <w:szCs w:val="24"/>
        </w:rPr>
      </w:pPr>
      <w:bookmarkStart w:id="9" w:name="_heading=h.bilt0c6n50ga" w:colFirst="0" w:colLast="0"/>
      <w:bookmarkEnd w:id="9"/>
      <w:r>
        <w:rPr>
          <w:rFonts w:ascii="Times New Roman" w:eastAsia="Times New Roman" w:hAnsi="Times New Roman" w:cs="Times New Roman"/>
          <w:sz w:val="24"/>
          <w:szCs w:val="24"/>
          <w:u w:val="single"/>
        </w:rPr>
        <w:t>For Single- and Two-Family Residential Structures in the Bay Road Mixed-Use, Willow Street Mixed-Use and Downtown Residential sub-districts of the Town Center District only: in addition to the circumstances described in Section 5.3.4(1)(a) and 5.3.4(1)(c) under which an alteration, extension, reconstruction or structural change shall not be deemed to increase the nonconforming nature of nonconforming Single- and Two-Family dwelling Structures, the following shall also be deemed not to increase the nonconforming nature of a nonconforming Single- or Two-Family dwelling:</w:t>
      </w:r>
      <w:r>
        <w:rPr>
          <w:rFonts w:ascii="Times New Roman" w:eastAsia="Times New Roman" w:hAnsi="Times New Roman" w:cs="Times New Roman"/>
          <w:sz w:val="24"/>
          <w:szCs w:val="24"/>
          <w:u w:val="single"/>
        </w:rPr>
        <w:br/>
      </w:r>
    </w:p>
    <w:p w14:paraId="0C489C3E" w14:textId="549FB3E2" w:rsidR="00BB6D16" w:rsidRPr="00BB6D16" w:rsidRDefault="00BB6D16" w:rsidP="0009488C">
      <w:pPr>
        <w:numPr>
          <w:ilvl w:val="1"/>
          <w:numId w:val="9"/>
        </w:numPr>
        <w:spacing w:after="200" w:line="276" w:lineRule="auto"/>
        <w:ind w:left="1440" w:hanging="360"/>
        <w:rPr>
          <w:rFonts w:ascii="Times New Roman" w:eastAsia="Times New Roman" w:hAnsi="Times New Roman" w:cs="Times New Roman"/>
          <w:sz w:val="24"/>
          <w:szCs w:val="24"/>
        </w:rPr>
      </w:pPr>
      <w:r w:rsidRPr="00BB6D16">
        <w:rPr>
          <w:rFonts w:ascii="Times New Roman" w:hAnsi="Times New Roman" w:cs="Times New Roman"/>
          <w:color w:val="000000"/>
          <w:sz w:val="24"/>
          <w:szCs w:val="24"/>
          <w:u w:val="single"/>
        </w:rPr>
        <w:t>The Front Yard is greater than the maximum setback allowed, and the proposed alteration or extension will not reduce the setback which fails to conform.</w:t>
      </w:r>
    </w:p>
    <w:p w14:paraId="00000213" w14:textId="7D6AFBBE"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is below the required minimum Facade Buildout, and the proposed alteration or extension will not reduce the Facade Buildout which fails to conform.</w:t>
      </w:r>
    </w:p>
    <w:p w14:paraId="00000214"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exceeds the maximum Facade Length without Offset, and the proposed alteration or extension will not increase the facade length which fails to conform.</w:t>
      </w:r>
    </w:p>
    <w:p w14:paraId="00000215"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location of parking encroaches on the Parking Setbacks, and the proposed alteration or extension will not change the location of parking which fails to conform nor add additional parking.</w:t>
      </w:r>
    </w:p>
    <w:p w14:paraId="00000216"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Ground Floor Height is greater than the maximum or less than the minimum required, and the proposed alteration or extension will not change the Ground Floor Height which fails to conform.</w:t>
      </w:r>
    </w:p>
    <w:p w14:paraId="00000217"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Floor Area Ratio exceeds the maximum allowed, and the proposed alteration or extension will not increase the Floor Area Ratio.</w:t>
      </w:r>
    </w:p>
    <w:p w14:paraId="00000218"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roof does not comply with the Allowed Roof Types or steepness requirements, and the proposed alteration or extension will not change the Roof Type or steepness.</w:t>
      </w:r>
    </w:p>
    <w:p w14:paraId="00000219"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The Structure does not contain a Street Facing Entry Feature, and the proposed alteration or extension will not change the entry condition. </w:t>
      </w:r>
    </w:p>
    <w:p w14:paraId="0000021A" w14:textId="77777777" w:rsidR="0051317C" w:rsidRDefault="009451E5" w:rsidP="0009488C">
      <w:pPr>
        <w:numPr>
          <w:ilvl w:val="1"/>
          <w:numId w:val="9"/>
        </w:numPr>
        <w:spacing w:after="200" w:line="276"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minimum Open Space requirements are not met and the proposed alteration or extension will not reduce the amount of open space.</w:t>
      </w:r>
    </w:p>
    <w:p w14:paraId="0000021B" w14:textId="77777777" w:rsidR="0051317C" w:rsidRDefault="009451E5" w:rsidP="0009488C">
      <w:pPr>
        <w:pStyle w:val="Heading2"/>
        <w:numPr>
          <w:ilvl w:val="0"/>
          <w:numId w:val="9"/>
        </w:numPr>
        <w:spacing w:before="240" w:after="240" w:line="276" w:lineRule="auto"/>
        <w:rPr>
          <w:rFonts w:ascii="Times New Roman" w:eastAsia="Times New Roman" w:hAnsi="Times New Roman" w:cs="Times New Roman"/>
          <w:sz w:val="24"/>
          <w:szCs w:val="24"/>
        </w:rPr>
      </w:pPr>
      <w:bookmarkStart w:id="10" w:name="_heading=h.bqungh103st3" w:colFirst="0" w:colLast="0"/>
      <w:bookmarkEnd w:id="10"/>
      <w:r>
        <w:rPr>
          <w:rFonts w:ascii="Times New Roman" w:eastAsia="Times New Roman" w:hAnsi="Times New Roman" w:cs="Times New Roman"/>
          <w:sz w:val="24"/>
          <w:szCs w:val="24"/>
        </w:rPr>
        <w:t>If the Building Commissioner determines that proposed change exceeds one (1) or more of the criteria set forth above, the Zoning Board of Appeals may, by Finding, allow such change where it determines that the proposed modification will not be substantially more detrimental than the existing nonconforming structure to the neighborhood.</w:t>
      </w:r>
    </w:p>
    <w:p w14:paraId="0000021C" w14:textId="2599045C" w:rsidR="0051317C" w:rsidRDefault="009451E5">
      <w:pPr>
        <w:pStyle w:val="Heading2"/>
        <w:spacing w:before="240" w:after="240" w:line="276" w:lineRule="auto"/>
        <w:ind w:left="0" w:firstLine="0"/>
        <w:rPr>
          <w:rFonts w:ascii="Times New Roman" w:eastAsia="Times New Roman" w:hAnsi="Times New Roman" w:cs="Times New Roman"/>
          <w:sz w:val="24"/>
          <w:szCs w:val="24"/>
          <w:u w:val="single"/>
        </w:rPr>
      </w:pPr>
      <w:bookmarkStart w:id="11" w:name="_heading=h.840n5m3g5uo9" w:colFirst="0" w:colLast="0"/>
      <w:bookmarkEnd w:id="11"/>
      <w:r>
        <w:rPr>
          <w:rFonts w:ascii="Times New Roman" w:eastAsia="Times New Roman" w:hAnsi="Times New Roman" w:cs="Times New Roman"/>
          <w:b/>
          <w:sz w:val="24"/>
          <w:szCs w:val="24"/>
          <w:u w:val="single"/>
        </w:rPr>
        <w:t>5.3.5.  Nonconforming Structures in the Depot Square Sub-district.</w:t>
      </w:r>
      <w:r>
        <w:rPr>
          <w:rFonts w:ascii="Times New Roman" w:eastAsia="Times New Roman" w:hAnsi="Times New Roman" w:cs="Times New Roman"/>
          <w:sz w:val="24"/>
          <w:szCs w:val="24"/>
          <w:u w:val="single"/>
        </w:rPr>
        <w:t xml:space="preserve"> In the Depot Square sub-district, for all existing structures containing allowed uses, the following circumstances shall not be deemed to increase the nonconforming nature of nonconforming structures and the Building Commissioner may issue a building permit, provided the proposed alterations are not a Substantial Improvement</w:t>
      </w:r>
      <w:r w:rsidR="0009488C">
        <w:rPr>
          <w:rFonts w:ascii="Times New Roman" w:eastAsia="Times New Roman" w:hAnsi="Times New Roman" w:cs="Times New Roman"/>
          <w:sz w:val="24"/>
          <w:szCs w:val="24"/>
          <w:u w:val="single"/>
        </w:rPr>
        <w:t xml:space="preserve"> (see definition under Section 11.0)</w:t>
      </w:r>
      <w:r>
        <w:rPr>
          <w:rFonts w:ascii="Times New Roman" w:eastAsia="Times New Roman" w:hAnsi="Times New Roman" w:cs="Times New Roman"/>
          <w:sz w:val="24"/>
          <w:szCs w:val="24"/>
          <w:u w:val="single"/>
        </w:rPr>
        <w:t>:</w:t>
      </w:r>
    </w:p>
    <w:p w14:paraId="0000021D" w14:textId="77777777" w:rsidR="0051317C" w:rsidRDefault="009451E5">
      <w:pPr>
        <w:numPr>
          <w:ilvl w:val="0"/>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existing Structure is on a conforming Lot but is nonconforming because</w:t>
      </w:r>
    </w:p>
    <w:p w14:paraId="0000021E"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it encroaches on a setback or the Front Yard is greater than the maximum setback allowed, and the proposed alteration or extension will not change the setback which fails to conform; or</w:t>
      </w:r>
    </w:p>
    <w:p w14:paraId="0000021F"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is below the required minimum Facade Buildout, and the proposed alteration or extension will not reduce the Facade Buildout which fails to conform; or</w:t>
      </w:r>
    </w:p>
    <w:p w14:paraId="00000220"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exceeds the maximum Facade Length without Offset, and the proposed alteration or extension will not increase the facade length which fails to conform; or</w:t>
      </w:r>
    </w:p>
    <w:p w14:paraId="00000221"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location of parking encroaches on the Parking Setbacks, and the proposed alteration or extension will not change the location of parking which fails to conform nor add additional parking; or</w:t>
      </w:r>
    </w:p>
    <w:p w14:paraId="00000222"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Ground Floor Height is greater than the maximum or less than the minimum required, and the proposed alteration or extension will not change the Ground Floor Height which fails to conform; or</w:t>
      </w:r>
    </w:p>
    <w:p w14:paraId="00000223"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Floor Area Ratio exceeds the maximum allowed, and the proposed alteration or extension will not increase the Floor Area Ratio; or</w:t>
      </w:r>
    </w:p>
    <w:p w14:paraId="00000224"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roof does not comply with the Allowed Roof Types or steepness requirements, and the proposed alteration or extension will not change the Roof Type; or</w:t>
      </w:r>
    </w:p>
    <w:p w14:paraId="00000225"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does not contain a Street Facing Entry Feature, and the proposed alteration or extension will not change the entry condition; or</w:t>
      </w:r>
    </w:p>
    <w:p w14:paraId="00000226"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Structure does not meet the minimum Ground Story Fenestration requirements and the proposed alteration or extension will not reduce the percentage of fenestration; or</w:t>
      </w:r>
    </w:p>
    <w:p w14:paraId="00000227"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the Structure exceeds the maximum Building Footprint allowed and the proposed alteration or extension will not increase the Building Footprint; </w:t>
      </w:r>
    </w:p>
    <w:p w14:paraId="00000228" w14:textId="77777777" w:rsidR="0051317C" w:rsidRDefault="009451E5">
      <w:pPr>
        <w:numPr>
          <w:ilvl w:val="1"/>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and the entire structure meets all other requirements of this By-law including but not limited to height.</w:t>
      </w:r>
    </w:p>
    <w:p w14:paraId="00000229" w14:textId="77777777" w:rsidR="0051317C" w:rsidRDefault="009451E5">
      <w:pPr>
        <w:numPr>
          <w:ilvl w:val="0"/>
          <w:numId w:val="3"/>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existing Structure is nonconforming solely because it is located on a Lot which is nonconforming as to size and/or Lot Width as the result of a zoning change, and the existing Structure and proposed alteration or extension meets all other current requirements of the By-law including but not limited to setbacks, height and Lot coverage.</w:t>
      </w:r>
    </w:p>
    <w:p w14:paraId="0000022A" w14:textId="77777777" w:rsidR="0051317C" w:rsidRPr="00C56EAB" w:rsidRDefault="009451E5">
      <w:pPr>
        <w:spacing w:after="200"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 xml:space="preserve">5.4   </w:t>
      </w:r>
      <w:r w:rsidRPr="00C56EAB">
        <w:rPr>
          <w:rFonts w:ascii="Times New Roman" w:eastAsia="Times New Roman" w:hAnsi="Times New Roman" w:cs="Times New Roman"/>
          <w:sz w:val="24"/>
          <w:szCs w:val="24"/>
        </w:rPr>
        <w:tab/>
        <w:t>ABANDONMENT OR NON-USE.  A nonconforming use or Structure which has been abandoned or not used for a period of two (2) years shall lose its protected status and be subject to all of the provisions of this By-law.</w:t>
      </w:r>
    </w:p>
    <w:p w14:paraId="0000022B" w14:textId="77777777" w:rsidR="0051317C" w:rsidRPr="00C56EAB" w:rsidRDefault="009451E5">
      <w:pPr>
        <w:spacing w:after="200" w:line="276" w:lineRule="auto"/>
        <w:rPr>
          <w:rFonts w:ascii="Times New Roman" w:eastAsia="Times New Roman" w:hAnsi="Times New Roman" w:cs="Times New Roman"/>
          <w:b/>
          <w:sz w:val="24"/>
          <w:szCs w:val="24"/>
        </w:rPr>
      </w:pPr>
      <w:r w:rsidRPr="00C56EAB">
        <w:rPr>
          <w:rFonts w:ascii="Times New Roman" w:eastAsia="Times New Roman" w:hAnsi="Times New Roman" w:cs="Times New Roman"/>
          <w:sz w:val="24"/>
          <w:szCs w:val="24"/>
        </w:rPr>
        <w:t xml:space="preserve">5.5   </w:t>
      </w:r>
      <w:r w:rsidRPr="00C56EAB">
        <w:rPr>
          <w:rFonts w:ascii="Times New Roman" w:eastAsia="Times New Roman" w:hAnsi="Times New Roman" w:cs="Times New Roman"/>
          <w:sz w:val="24"/>
          <w:szCs w:val="24"/>
        </w:rPr>
        <w:tab/>
        <w:t xml:space="preserve">RECONSTRUCTION AFTER CATASTROPHE OR DEMOLITION.  Any nonconforming Structure may be reconstructed after a catastrophe or after voluntary demolition in accordance with the following provisions, </w:t>
      </w:r>
      <w:r w:rsidRPr="0009488C">
        <w:rPr>
          <w:rFonts w:ascii="Times New Roman" w:eastAsia="Times New Roman" w:hAnsi="Times New Roman" w:cs="Times New Roman"/>
          <w:sz w:val="24"/>
          <w:szCs w:val="24"/>
          <w:u w:val="single"/>
        </w:rPr>
        <w:t>except in the Town Center District where nonconforming Structures may be reconstructed after a catastrophe but not after voluntary demolition</w:t>
      </w:r>
      <w:r w:rsidRPr="00C56EAB">
        <w:rPr>
          <w:rFonts w:ascii="Times New Roman" w:eastAsia="Times New Roman" w:hAnsi="Times New Roman" w:cs="Times New Roman"/>
          <w:sz w:val="24"/>
          <w:szCs w:val="24"/>
        </w:rPr>
        <w:t>:</w:t>
      </w:r>
    </w:p>
    <w:p w14:paraId="0000022C" w14:textId="77777777" w:rsidR="0051317C" w:rsidRPr="00C56EAB" w:rsidRDefault="009451E5">
      <w:pPr>
        <w:spacing w:after="200"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 xml:space="preserve">5.5.1  Procedures. </w:t>
      </w:r>
    </w:p>
    <w:p w14:paraId="0000022D" w14:textId="77777777" w:rsidR="0051317C" w:rsidRPr="00C56EAB" w:rsidRDefault="009451E5">
      <w:pPr>
        <w:numPr>
          <w:ilvl w:val="0"/>
          <w:numId w:val="2"/>
        </w:numPr>
        <w:spacing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Reconstruction of said premises shall commence within two (2) years after such catastrophe or demolition, with the reconstruction completed and the Structure occupied within a reasonable time thereafter.</w:t>
      </w:r>
      <w:r w:rsidRPr="00C56EAB">
        <w:rPr>
          <w:rFonts w:ascii="Times New Roman" w:eastAsia="Times New Roman" w:hAnsi="Times New Roman" w:cs="Times New Roman"/>
          <w:sz w:val="24"/>
          <w:szCs w:val="24"/>
        </w:rPr>
        <w:br/>
      </w:r>
    </w:p>
    <w:p w14:paraId="0000022E" w14:textId="77777777" w:rsidR="0051317C" w:rsidRPr="00C56EAB" w:rsidRDefault="009451E5">
      <w:pPr>
        <w:numPr>
          <w:ilvl w:val="0"/>
          <w:numId w:val="2"/>
        </w:numPr>
        <w:spacing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Building(s) reconstructed as of right shall be located on the same footprint as the original nonconforming Structure and shall be only as great in volume or area as the original nonconforming Structure.</w:t>
      </w:r>
      <w:r w:rsidRPr="00C56EAB">
        <w:rPr>
          <w:rFonts w:ascii="Times New Roman" w:eastAsia="Times New Roman" w:hAnsi="Times New Roman" w:cs="Times New Roman"/>
          <w:sz w:val="24"/>
          <w:szCs w:val="24"/>
        </w:rPr>
        <w:br/>
      </w:r>
    </w:p>
    <w:p w14:paraId="0000022F" w14:textId="77777777" w:rsidR="0051317C" w:rsidRPr="00C56EAB" w:rsidRDefault="009451E5">
      <w:pPr>
        <w:numPr>
          <w:ilvl w:val="0"/>
          <w:numId w:val="2"/>
        </w:numPr>
        <w:spacing w:after="200"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In the event that the proposed reconstruction would (a) cause the Structure to exceed the volume or area of the original nonconforming Structure, or (b) cause the Structure to be located other than on the original footprint, a special permit shall be required from the Zoning Board of Appeals.  In the case of voluntary demolition, the special permit shall be obtained prior to such demolition.</w:t>
      </w:r>
    </w:p>
    <w:p w14:paraId="00000230" w14:textId="77777777" w:rsidR="0051317C" w:rsidRPr="00C56EAB" w:rsidRDefault="009451E5">
      <w:pPr>
        <w:spacing w:after="200"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 xml:space="preserve">5.6   </w:t>
      </w:r>
      <w:r w:rsidRPr="00C56EAB">
        <w:rPr>
          <w:rFonts w:ascii="Times New Roman" w:eastAsia="Times New Roman" w:hAnsi="Times New Roman" w:cs="Times New Roman"/>
          <w:sz w:val="24"/>
          <w:szCs w:val="24"/>
        </w:rPr>
        <w:tab/>
        <w:t>REVERSION TO CONFORMITY OR MORE RESTRICTIVE USE.  No nonconforming use shall, if changed to a conforming use or to a more restrictive use, revert to a nonconforming or less restrictive use.</w:t>
      </w:r>
    </w:p>
    <w:p w14:paraId="00000231" w14:textId="77777777" w:rsidR="0051317C" w:rsidRPr="00C56EAB" w:rsidRDefault="009451E5">
      <w:pPr>
        <w:spacing w:after="200" w:line="276" w:lineRule="auto"/>
        <w:rPr>
          <w:rFonts w:ascii="Times New Roman" w:eastAsia="Times New Roman" w:hAnsi="Times New Roman" w:cs="Times New Roman"/>
          <w:sz w:val="24"/>
          <w:szCs w:val="24"/>
        </w:rPr>
      </w:pPr>
      <w:r w:rsidRPr="00C56EAB">
        <w:rPr>
          <w:rFonts w:ascii="Times New Roman" w:eastAsia="Times New Roman" w:hAnsi="Times New Roman" w:cs="Times New Roman"/>
          <w:sz w:val="24"/>
          <w:szCs w:val="24"/>
        </w:rPr>
        <w:t xml:space="preserve">5.7   </w:t>
      </w:r>
      <w:r w:rsidRPr="00C56EAB">
        <w:rPr>
          <w:rFonts w:ascii="Times New Roman" w:eastAsia="Times New Roman" w:hAnsi="Times New Roman" w:cs="Times New Roman"/>
          <w:sz w:val="24"/>
          <w:szCs w:val="24"/>
        </w:rPr>
        <w:tab/>
        <w:t>SUBSTANDARD LOTS.  When a prior lawful nonconforming Structure is located on a Lot which does not meet current dimensional requirements, such Lot shall not be changed, unless the change does not result in exacerbation of an existing nonconformity or a new nonconformity.</w:t>
      </w:r>
    </w:p>
    <w:p w14:paraId="0000023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12" w:name="_heading=h.5dj60vzextlm" w:colFirst="0" w:colLast="0"/>
      <w:bookmarkEnd w:id="12"/>
      <w:r>
        <w:rPr>
          <w:rFonts w:ascii="Times New Roman" w:eastAsia="Times New Roman" w:hAnsi="Times New Roman" w:cs="Times New Roman"/>
          <w:b/>
          <w:sz w:val="24"/>
          <w:szCs w:val="24"/>
        </w:rPr>
        <w:t>6.1 OFF-STREET PARKING AND LOADING AREAS.</w:t>
      </w:r>
    </w:p>
    <w:p w14:paraId="00000233" w14:textId="77777777" w:rsidR="0051317C" w:rsidRDefault="009451E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6.1.3  No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00000234" w14:textId="77777777" w:rsidR="0051317C" w:rsidRDefault="009451E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6.1.6  Shared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00000235"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Depot Square, Bay Road Civic, Willow Street Mixed-Use and Bay Road Mixed-Use sub-districts of the Town Center District</w:t>
      </w:r>
      <w:r>
        <w:rPr>
          <w:rFonts w:ascii="Times New Roman" w:eastAsia="Times New Roman" w:hAnsi="Times New Roman" w:cs="Times New Roman"/>
          <w:sz w:val="24"/>
          <w:szCs w:val="24"/>
        </w:rPr>
        <w:t xml:space="preserve"> shall be shown on a site plan, as provided in Section 10.6.</w:t>
      </w:r>
    </w:p>
    <w:p w14:paraId="00000236"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13" w:name="_heading=h.5m2oesbijy0o" w:colFirst="0" w:colLast="0"/>
      <w:bookmarkEnd w:id="13"/>
      <w:r>
        <w:rPr>
          <w:rFonts w:ascii="Times New Roman" w:eastAsia="Times New Roman" w:hAnsi="Times New Roman" w:cs="Times New Roman"/>
          <w:b/>
          <w:sz w:val="24"/>
          <w:szCs w:val="24"/>
        </w:rPr>
        <w:t>6.3 SIGNS.</w:t>
      </w:r>
    </w:p>
    <w:p w14:paraId="00000237"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andRA Districts, and Downtown Residential sub-district of the Town Center District.</w:t>
      </w:r>
    </w:p>
    <w:p w14:paraId="0000023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00000239"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 xml:space="preserve">Business District </w:t>
      </w:r>
      <w:r>
        <w:rPr>
          <w:rFonts w:ascii="Times New Roman" w:eastAsia="Times New Roman" w:hAnsi="Times New Roman" w:cs="Times New Roman"/>
          <w:b/>
          <w:sz w:val="24"/>
          <w:szCs w:val="24"/>
          <w:u w:val="single"/>
        </w:rPr>
        <w:t>Depot Square, Bay Road Civic, Bay Road Mixed-Use and Willow Street Mixed-Use sub-districts of the Town Center District.</w:t>
      </w:r>
    </w:p>
    <w:p w14:paraId="0000023A"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0000023B"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0000023C"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Depot Square, Bay Road Civic, Bay Road Mixed-Use and Willow Street Mixed-Use sub-districts of the Town Center District</w:t>
      </w:r>
      <w:r>
        <w:rPr>
          <w:rFonts w:ascii="Times New Roman" w:eastAsia="Times New Roman" w:hAnsi="Times New Roman" w:cs="Times New Roman"/>
          <w:sz w:val="24"/>
          <w:szCs w:val="24"/>
        </w:rPr>
        <w:t xml:space="preserve"> shall not exceed a total area of (6) square feet.</w:t>
      </w:r>
    </w:p>
    <w:p w14:paraId="0000023D"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14" w:name="_heading=h.evm6p1vd1t0n" w:colFirst="0" w:colLast="0"/>
      <w:bookmarkEnd w:id="14"/>
      <w:r>
        <w:rPr>
          <w:rFonts w:ascii="Times New Roman" w:eastAsia="Times New Roman" w:hAnsi="Times New Roman" w:cs="Times New Roman"/>
          <w:b/>
          <w:sz w:val="24"/>
          <w:szCs w:val="24"/>
        </w:rPr>
        <w:t>8.2 SENIOR HOUSING.</w:t>
      </w:r>
    </w:p>
    <w:p w14:paraId="0000023E"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or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0000023F" w14:textId="77777777" w:rsidR="0051317C" w:rsidRDefault="0051317C">
      <w:pPr>
        <w:spacing w:line="276" w:lineRule="auto"/>
        <w:rPr>
          <w:rFonts w:ascii="Times New Roman" w:eastAsia="Times New Roman" w:hAnsi="Times New Roman" w:cs="Times New Roman"/>
          <w:b/>
          <w:sz w:val="24"/>
          <w:szCs w:val="24"/>
        </w:rPr>
      </w:pPr>
    </w:p>
    <w:p w14:paraId="00000240"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00000241"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12. In the Business District a mixture of residential and business uses.</w:t>
      </w:r>
    </w:p>
    <w:p w14:paraId="00000242" w14:textId="77777777" w:rsidR="0051317C" w:rsidRDefault="0051317C">
      <w:pPr>
        <w:spacing w:line="276" w:lineRule="auto"/>
        <w:rPr>
          <w:rFonts w:ascii="Times New Roman" w:eastAsia="Times New Roman" w:hAnsi="Times New Roman" w:cs="Times New Roman"/>
          <w:sz w:val="24"/>
          <w:szCs w:val="24"/>
        </w:rPr>
      </w:pPr>
    </w:p>
    <w:p w14:paraId="00000243"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00000244"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4B8E232E"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00024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7"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A"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000024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26E88B5B"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00000250"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00000251"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00000252"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0000025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58"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59"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5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 Density per Dev. Acre</w:t>
            </w:r>
          </w:p>
        </w:tc>
      </w:tr>
      <w:tr w:rsidR="0051317C" w14:paraId="4236EE43"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0000025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0000025C"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0000025D"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5E" w14:textId="77777777" w:rsidR="0051317C" w:rsidRDefault="009451E5">
            <w:pPr>
              <w:rPr>
                <w:rFonts w:ascii="Times New Roman" w:eastAsia="Times New Roman" w:hAnsi="Times New Roman" w:cs="Times New Roman"/>
                <w:sz w:val="24"/>
                <w:szCs w:val="24"/>
              </w:rPr>
            </w:pPr>
            <w:r>
              <w:rPr>
                <w:rFonts w:ascii="Times New Roman" w:eastAsia="Times New Roman" w:hAnsi="Times New Roman" w:cs="Times New Roman"/>
                <w:sz w:val="24"/>
                <w:szCs w:val="24"/>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5F" w14:textId="77777777" w:rsidR="0051317C" w:rsidRDefault="009451E5">
            <w:pPr>
              <w:rPr>
                <w:rFonts w:ascii="Times New Roman" w:eastAsia="Times New Roman" w:hAnsi="Times New Roman" w:cs="Times New Roman"/>
                <w:sz w:val="24"/>
                <w:szCs w:val="24"/>
              </w:rPr>
            </w:pPr>
            <w:r>
              <w:rPr>
                <w:rFonts w:ascii="Times New Roman" w:eastAsia="Times New Roman" w:hAnsi="Times New Roman" w:cs="Times New Roman"/>
                <w:sz w:val="24"/>
                <w:szCs w:val="24"/>
              </w:rPr>
              <w:t>On or Off Site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0" w14:textId="77777777" w:rsidR="0051317C" w:rsidRDefault="009451E5">
            <w:pPr>
              <w:rPr>
                <w:rFonts w:ascii="Times New Roman" w:eastAsia="Times New Roman" w:hAnsi="Times New Roman" w:cs="Times New Roman"/>
                <w:sz w:val="24"/>
                <w:szCs w:val="24"/>
              </w:rPr>
            </w:pPr>
            <w:r>
              <w:rPr>
                <w:rFonts w:ascii="Times New Roman" w:eastAsia="Times New Roman" w:hAnsi="Times New Roman" w:cs="Times New Roman"/>
                <w:sz w:val="24"/>
                <w:szCs w:val="24"/>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1" w14:textId="77777777" w:rsidR="0051317C" w:rsidRDefault="009451E5">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2" w14:textId="77777777" w:rsidR="0051317C" w:rsidRDefault="009451E5">
            <w:pPr>
              <w:rPr>
                <w:rFonts w:ascii="Times New Roman" w:eastAsia="Times New Roman" w:hAnsi="Times New Roman" w:cs="Times New Roman"/>
                <w:sz w:val="24"/>
                <w:szCs w:val="24"/>
              </w:rPr>
            </w:pPr>
            <w:r>
              <w:rPr>
                <w:rFonts w:ascii="Times New Roman" w:eastAsia="Times New Roman" w:hAnsi="Times New Roman" w:cs="Times New Roman"/>
                <w:sz w:val="24"/>
                <w:szCs w:val="24"/>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63"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64"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0000026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505F4FC3"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0000266"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7"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A"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B"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D"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E"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6F"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7383DA5B"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0000271"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4"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7"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B"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245CD2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000027C"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7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4"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17F86277"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0000287"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B"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8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9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00002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00000292" w14:textId="77777777" w:rsidR="0051317C" w:rsidRDefault="0051317C">
      <w:pPr>
        <w:spacing w:line="276" w:lineRule="auto"/>
        <w:rPr>
          <w:rFonts w:ascii="Times New Roman" w:eastAsia="Times New Roman" w:hAnsi="Times New Roman" w:cs="Times New Roman"/>
          <w:sz w:val="24"/>
          <w:szCs w:val="24"/>
        </w:rPr>
      </w:pPr>
    </w:p>
    <w:p w14:paraId="00000293"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00000294" w14:textId="77777777" w:rsidR="0051317C" w:rsidRDefault="0051317C">
      <w:pPr>
        <w:spacing w:line="276" w:lineRule="auto"/>
        <w:rPr>
          <w:rFonts w:ascii="Times New Roman" w:eastAsia="Times New Roman" w:hAnsi="Times New Roman" w:cs="Times New Roman"/>
          <w:sz w:val="24"/>
          <w:szCs w:val="24"/>
        </w:rPr>
      </w:pPr>
    </w:p>
    <w:p w14:paraId="00000295"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00000296" w14:textId="77777777" w:rsidR="0051317C" w:rsidRDefault="0051317C">
      <w:pPr>
        <w:spacing w:line="276" w:lineRule="auto"/>
        <w:rPr>
          <w:rFonts w:ascii="Times New Roman" w:eastAsia="Times New Roman" w:hAnsi="Times New Roman" w:cs="Times New Roman"/>
          <w:sz w:val="24"/>
          <w:szCs w:val="24"/>
        </w:rPr>
      </w:pPr>
    </w:p>
    <w:p w14:paraId="00000297"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0000298" w14:textId="77777777" w:rsidR="0051317C"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multi‑unit residential buildings under G.L. c. 40B, or any existing or approved project including </w:t>
      </w:r>
      <w:r>
        <w:rPr>
          <w:rFonts w:ascii="Times New Roman" w:eastAsia="Times New Roman" w:hAnsi="Times New Roman" w:cs="Times New Roman"/>
          <w:sz w:val="24"/>
          <w:szCs w:val="24"/>
          <w:u w:val="single"/>
        </w:rPr>
        <w:t>Multi-Family residential buildings under any other provision or By-law.  Excluded from this calculation and this Section are any existing Multi-Family projects approved prior to January 1, 2003, Multi-Family Dwellings or Mixed-Use Developments in the Town Center District, and apartments under Sections 3.4, 3.6 or 3.7.</w:t>
      </w:r>
    </w:p>
    <w:p w14:paraId="00000299" w14:textId="77777777" w:rsidR="0051317C" w:rsidRDefault="0051317C">
      <w:pPr>
        <w:spacing w:line="276" w:lineRule="auto"/>
        <w:rPr>
          <w:rFonts w:ascii="Times New Roman" w:eastAsia="Times New Roman" w:hAnsi="Times New Roman" w:cs="Times New Roman"/>
          <w:b/>
          <w:sz w:val="24"/>
          <w:szCs w:val="24"/>
          <w:u w:val="single"/>
        </w:rPr>
      </w:pPr>
    </w:p>
    <w:p w14:paraId="0000029A"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0000029B" w14:textId="77777777" w:rsidR="0051317C" w:rsidRDefault="0051317C">
      <w:pPr>
        <w:spacing w:line="276" w:lineRule="auto"/>
        <w:rPr>
          <w:rFonts w:ascii="Times New Roman" w:eastAsia="Times New Roman" w:hAnsi="Times New Roman" w:cs="Times New Roman"/>
          <w:sz w:val="24"/>
          <w:szCs w:val="24"/>
        </w:rPr>
      </w:pPr>
    </w:p>
    <w:p w14:paraId="0000029C"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0000029D" w14:textId="77777777"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3. Location of Wastewater Treatment. All wastewater shall be treated and discharged on-site. Off-site wastewater treatment is not allowed. An exception to this is for parcels located in the Depot Square and Willow Street Mixed-Use sub-districts of the Town Center District</w:t>
      </w:r>
      <w:r>
        <w:rPr>
          <w:rFonts w:ascii="Times New Roman" w:eastAsia="Times New Roman" w:hAnsi="Times New Roman" w:cs="Times New Roman"/>
          <w:strike/>
          <w:sz w:val="24"/>
          <w:szCs w:val="24"/>
        </w:rPr>
        <w:t xml:space="preserve"> Business District</w:t>
      </w:r>
      <w:r>
        <w:rPr>
          <w:rFonts w:ascii="Times New Roman" w:eastAsia="Times New Roman" w:hAnsi="Times New Roman" w:cs="Times New Roman"/>
          <w:sz w:val="24"/>
          <w:szCs w:val="24"/>
        </w:rPr>
        <w:t>, where wastewater treatment may be located off-site.</w:t>
      </w:r>
    </w:p>
    <w:p w14:paraId="0000029E"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0000029F" w14:textId="77777777" w:rsidR="0051317C" w:rsidRDefault="009451E5">
      <w:pPr>
        <w:tabs>
          <w:tab w:val="left" w:pos="648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8.2.15  Dimensional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000002A0"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2EE63FB4"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02A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4"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5"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6"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7"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9"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2A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5226B960"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000002AB"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AC"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A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Under- lying Zoning District Require-ment (s.f.)</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AE"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Parcel Size (sq.ft.) to be eligible for develop-ment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AF"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Parcel Frontage Required (feet) to be eligible for develop-ment</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B0"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B1"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B2"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B3"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000002B4"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 Lot Coverage of entire parcel</w:t>
            </w:r>
          </w:p>
        </w:tc>
      </w:tr>
      <w:tr w:rsidR="0051317C" w14:paraId="32A281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2B5"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000002B6"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000002B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B8"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B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B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BB"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BC"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BD"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000002B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1F558F9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2BF"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00000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000002C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C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C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C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C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C6"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C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000002C8"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30730B45"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2C9"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000002C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000002C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C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C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C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C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000002D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4884275D"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2D3"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000002D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000002D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D6"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D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D8"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D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00002D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00002D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000002D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000002D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15" w:name="_heading=h.kw2pz3uo2pr4" w:colFirst="0" w:colLast="0"/>
      <w:bookmarkEnd w:id="15"/>
      <w:r>
        <w:rPr>
          <w:rFonts w:ascii="Times New Roman" w:eastAsia="Times New Roman" w:hAnsi="Times New Roman" w:cs="Times New Roman"/>
          <w:b/>
          <w:sz w:val="24"/>
          <w:szCs w:val="24"/>
        </w:rPr>
        <w:t>8.3 INCLUSIONARY HOUSING</w:t>
      </w:r>
    </w:p>
    <w:p w14:paraId="000002DE" w14:textId="77777777"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except in the 3A-MFOD, Bay Road Mixed-Use, Willow Street Mixed-Use, and Downtown Residential sub-districts, where the tenth dwelling unit and every tenth unit thereafter shall be an Affordable Housing Unit</w:t>
      </w:r>
      <w:r>
        <w:rPr>
          <w:rFonts w:ascii="Times New Roman" w:eastAsia="Times New Roman" w:hAnsi="Times New Roman" w:cs="Times New Roman"/>
          <w:sz w:val="24"/>
          <w:szCs w:val="24"/>
        </w:rPr>
        <w:t xml:space="preserve">. Nothing in this Section shall preclude a developer from providing more Affordable Housing Units than are required hereunder. </w:t>
      </w:r>
      <w:r>
        <w:rPr>
          <w:rFonts w:ascii="Times New Roman" w:eastAsia="Times New Roman" w:hAnsi="Times New Roman" w:cs="Times New Roman"/>
          <w:sz w:val="24"/>
          <w:szCs w:val="24"/>
          <w:u w:val="single"/>
        </w:rPr>
        <w:t>In the 3A-MFOD, Bay Road Mixed-Use, Willow Street Mixed-Use, and Downtown Residential sub-districts, the cap on the income of families or individuals who are eligible to occupy the Affordable units shall be not less than 80% of area median income</w:t>
      </w:r>
      <w:r>
        <w:rPr>
          <w:rFonts w:ascii="Times New Roman" w:eastAsia="Times New Roman" w:hAnsi="Times New Roman" w:cs="Times New Roman"/>
          <w:sz w:val="24"/>
          <w:szCs w:val="24"/>
        </w:rPr>
        <w:t>.</w:t>
      </w:r>
    </w:p>
    <w:p w14:paraId="000002DF"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6" w:name="_heading=h.12hk30hogmg1" w:colFirst="0" w:colLast="0"/>
      <w:bookmarkEnd w:id="16"/>
      <w:r>
        <w:rPr>
          <w:rFonts w:ascii="Times New Roman" w:eastAsia="Times New Roman" w:hAnsi="Times New Roman" w:cs="Times New Roman"/>
          <w:b/>
          <w:sz w:val="24"/>
          <w:szCs w:val="24"/>
        </w:rPr>
        <w:t>9.1 GROUNDWATER PROTECTION OVERLAY DISTRICT (GPOD)</w:t>
      </w:r>
    </w:p>
    <w:p w14:paraId="000002E0"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 xml:space="preserve">Regardless of the minimum Lot size of the underlying zone, there shall be a minimum lot area of eighty thousand (80,000) square feet per dwelling unit in the GPOD.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minimum lot area per dwelling limitation.</w:t>
      </w:r>
    </w:p>
    <w:p w14:paraId="000002E1"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000002E2"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 xml:space="preserve">The following uses and activities are permitted only upon the issuance of Special Permit by the Zoning Board of Appeals under such conditions as it may require.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Special Permit Requirement.</w:t>
      </w:r>
    </w:p>
    <w:p w14:paraId="000002E3"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rPr>
      </w:pPr>
      <w:bookmarkStart w:id="17" w:name="_heading=h.quwpltvdneym" w:colFirst="0" w:colLast="0"/>
      <w:bookmarkEnd w:id="17"/>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June 2025)</w:t>
      </w:r>
    </w:p>
    <w:p w14:paraId="000002E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8" w:name="_heading=h.menrlw5qu6w7" w:colFirst="0" w:colLast="0"/>
      <w:bookmarkEnd w:id="18"/>
      <w:r>
        <w:rPr>
          <w:rFonts w:ascii="Times New Roman" w:eastAsia="Times New Roman" w:hAnsi="Times New Roman" w:cs="Times New Roman"/>
          <w:b/>
          <w:sz w:val="24"/>
          <w:szCs w:val="24"/>
        </w:rPr>
        <w:t>11.0 DEFINITIONS</w:t>
      </w:r>
    </w:p>
    <w:p w14:paraId="000002E5"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Pr>
          <w:rFonts w:ascii="Times New Roman" w:eastAsia="Times New Roman" w:hAnsi="Times New Roman" w:cs="Times New Roman"/>
          <w:sz w:val="24"/>
          <w:szCs w:val="24"/>
          <w:u w:val="single"/>
        </w:rPr>
        <w:t>The ratio of the total Gross Floor Area of all buildings on a lot to the total lot area. For the purposes of calculating FAR, basements, cellars, attics, garages and interior parking spaces shall be excluded from the GFA. Half-stories that meet the criteria listed in 9.8.2.2.2 (j), Half Story, shall be counted as one half of the GFA of the floor below.</w:t>
      </w:r>
    </w:p>
    <w:p w14:paraId="000002E6" w14:textId="77777777" w:rsidR="0051317C" w:rsidRDefault="0051317C">
      <w:pPr>
        <w:spacing w:line="276" w:lineRule="auto"/>
        <w:rPr>
          <w:rFonts w:ascii="Times New Roman" w:eastAsia="Times New Roman" w:hAnsi="Times New Roman" w:cs="Times New Roman"/>
          <w:sz w:val="24"/>
          <w:szCs w:val="24"/>
        </w:rPr>
      </w:pPr>
    </w:p>
    <w:p w14:paraId="000002E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Three-family: A building containing three dwelling units, each of which has direct access to the outside or to a common hall that leads to the outside.</w:t>
      </w:r>
    </w:p>
    <w:p w14:paraId="000002E8" w14:textId="77777777" w:rsidR="0051317C" w:rsidRDefault="0051317C">
      <w:pPr>
        <w:spacing w:line="276" w:lineRule="auto"/>
        <w:rPr>
          <w:rFonts w:ascii="Times New Roman" w:eastAsia="Times New Roman" w:hAnsi="Times New Roman" w:cs="Times New Roman"/>
          <w:strike/>
          <w:sz w:val="24"/>
          <w:szCs w:val="24"/>
        </w:rPr>
      </w:pPr>
    </w:p>
    <w:p w14:paraId="000002E9"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000002EA" w14:textId="77777777" w:rsidR="0051317C" w:rsidRDefault="0051317C">
      <w:pPr>
        <w:spacing w:line="276" w:lineRule="auto"/>
        <w:rPr>
          <w:rFonts w:ascii="Times New Roman" w:eastAsia="Times New Roman" w:hAnsi="Times New Roman" w:cs="Times New Roman"/>
          <w:sz w:val="24"/>
          <w:szCs w:val="24"/>
        </w:rPr>
      </w:pPr>
    </w:p>
    <w:p w14:paraId="000002EB"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Dwelling, Multi-Family:</w:t>
      </w:r>
      <w:r>
        <w:rPr>
          <w:rFonts w:ascii="Times New Roman" w:eastAsia="Times New Roman" w:hAnsi="Times New Roman" w:cs="Times New Roman"/>
          <w:sz w:val="24"/>
          <w:szCs w:val="24"/>
        </w:rPr>
        <w:t xml:space="preserve"> A building containing </w:t>
      </w:r>
      <w:r>
        <w:rPr>
          <w:rFonts w:ascii="Times New Roman" w:eastAsia="Times New Roman" w:hAnsi="Times New Roman" w:cs="Times New Roman"/>
          <w:strike/>
          <w:sz w:val="24"/>
          <w:szCs w:val="24"/>
        </w:rPr>
        <w:t xml:space="preserve">five </w:t>
      </w:r>
      <w:r>
        <w:rPr>
          <w:rFonts w:ascii="Times New Roman" w:eastAsia="Times New Roman" w:hAnsi="Times New Roman" w:cs="Times New Roman"/>
          <w:sz w:val="24"/>
          <w:szCs w:val="24"/>
        </w:rPr>
        <w:t xml:space="preserve">three or more dwelling units, or two or more buildings on the same lot with more than one residential dwelling unit in each building. </w:t>
      </w:r>
    </w:p>
    <w:p w14:paraId="000002E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 complementary combination of permitted residential uses and commercial land uses, occupying the same site or building as part of a single development plan.</w:t>
      </w:r>
    </w:p>
    <w:p w14:paraId="000002ED" w14:textId="647DBB1C" w:rsidR="0051317C" w:rsidRDefault="009451E5">
      <w:pPr>
        <w:spacing w:before="240" w:after="240" w:line="246" w:lineRule="auto"/>
        <w:rPr>
          <w:rFonts w:ascii="Times New Roman" w:eastAsia="Times New Roman" w:hAnsi="Times New Roman" w:cs="Times New Roman"/>
          <w:sz w:val="24"/>
          <w:szCs w:val="24"/>
          <w:u w:val="single"/>
        </w:rPr>
      </w:pPr>
      <w:r w:rsidRPr="00126BE1">
        <w:rPr>
          <w:rFonts w:ascii="Times New Roman" w:eastAsia="Times New Roman" w:hAnsi="Times New Roman" w:cs="Times New Roman"/>
          <w:b/>
          <w:sz w:val="24"/>
          <w:szCs w:val="24"/>
          <w:u w:val="single"/>
        </w:rPr>
        <w:t>Substantial Improvement:</w:t>
      </w:r>
      <w:r>
        <w:rPr>
          <w:rFonts w:ascii="Times New Roman" w:eastAsia="Times New Roman" w:hAnsi="Times New Roman" w:cs="Times New Roman"/>
          <w:sz w:val="24"/>
          <w:szCs w:val="24"/>
          <w:u w:val="single"/>
        </w:rPr>
        <w:t xml:space="preserve"> Any repair, reconstruction, or improvement of a structure, the cost of which shall be equals or exceeds 50 percent of the market value of the structure either (a) before the improvement or repair is started or (b) if the structure has been damaged and is being restored, before the damage occur</w:t>
      </w:r>
      <w:r w:rsidR="00126BE1">
        <w:rPr>
          <w:rFonts w:ascii="Times New Roman" w:eastAsia="Times New Roman" w:hAnsi="Times New Roman" w:cs="Times New Roman"/>
          <w:sz w:val="24"/>
          <w:szCs w:val="24"/>
          <w:u w:val="single"/>
        </w:rPr>
        <w:t>r</w:t>
      </w:r>
      <w:r>
        <w:rPr>
          <w:rFonts w:ascii="Times New Roman" w:eastAsia="Times New Roman" w:hAnsi="Times New Roman" w:cs="Times New Roman"/>
          <w:sz w:val="24"/>
          <w:szCs w:val="24"/>
          <w:u w:val="single"/>
        </w:rPr>
        <w:t>ed. For the purposes of this definition, “substantial improvement” is considered to occur when the first alteration of any wall, ceiling, floor, or other structural part of the building commences, whether or not that alteration affects the external dimensions of the structure.</w:t>
      </w:r>
    </w:p>
    <w:p w14:paraId="000002EE" w14:textId="77777777" w:rsidR="0051317C" w:rsidRDefault="0051317C">
      <w:pPr>
        <w:spacing w:line="276" w:lineRule="auto"/>
        <w:rPr>
          <w:rFonts w:ascii="Times New Roman" w:eastAsia="Times New Roman" w:hAnsi="Times New Roman" w:cs="Times New Roman"/>
          <w:sz w:val="24"/>
          <w:szCs w:val="24"/>
        </w:rPr>
      </w:pPr>
    </w:p>
    <w:sectPr w:rsidR="0051317C">
      <w:headerReference w:type="default" r:id="rId11"/>
      <w:footerReference w:type="default" r:id="rId1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3EC24" w14:textId="77777777" w:rsidR="009451E5" w:rsidRDefault="009451E5">
      <w:r>
        <w:separator/>
      </w:r>
    </w:p>
  </w:endnote>
  <w:endnote w:type="continuationSeparator" w:id="0">
    <w:p w14:paraId="432B37D0" w14:textId="77777777" w:rsidR="009451E5" w:rsidRDefault="0094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0" w14:textId="0F07A940"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C5238C">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C5238C">
      <w:rPr>
        <w:rFonts w:ascii="Times New Roman" w:eastAsia="Times New Roman" w:hAnsi="Times New Roman" w:cs="Times New Roman"/>
        <w:b/>
        <w:noProof/>
        <w:color w:val="000000"/>
      </w:rPr>
      <w:t>20</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10E373" w14:textId="77777777" w:rsidR="009451E5" w:rsidRDefault="009451E5">
      <w:r>
        <w:separator/>
      </w:r>
    </w:p>
  </w:footnote>
  <w:footnote w:type="continuationSeparator" w:id="0">
    <w:p w14:paraId="40326AC3" w14:textId="77777777" w:rsidR="009451E5" w:rsidRDefault="00945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EF" w14:textId="77777777" w:rsidR="009451E5" w:rsidRDefault="009451E5">
    <w:r>
      <w:pict w14:anchorId="3041A284">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7" style="position:absolute;margin-left:0;margin-top:0;width:567.8pt;height:195.9pt;rotation:315;z-index:-251658752;mso-position-horizontal:center;mso-position-horizontal-relative:margin;mso-position-vertical:center;mso-position-vertical-relative:margin" fillcolor="#e8eaed" stroked="f">
          <v:fill opacity="1" angle="0"/>
          <v:textpath on="t" style="font-family:&quot;&amp;quot&quot;;font-size:1pt" fitshap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7"/>
  </w:num>
  <w:num w:numId="4">
    <w:abstractNumId w:val="3"/>
  </w:num>
  <w:num w:numId="5">
    <w:abstractNumId w:val="5"/>
  </w:num>
  <w:num w:numId="6">
    <w:abstractNumId w:val="0"/>
  </w:num>
  <w:num w:numId="7">
    <w:abstractNumId w:val="4"/>
  </w:num>
  <w:num w:numId="8">
    <w:abstractNumId w:val="1"/>
  </w:num>
  <w:num w:numId="9">
    <w:abstractNumId w:val="1"/>
    <w:lvlOverride w:ilvl="1">
      <w:lvl w:ilvl="1">
        <w:start w:val="1"/>
        <w:numFmt w:val="lowerLetter"/>
        <w:lvlText w:val="%2."/>
        <w:lvlJc w:val="left"/>
        <w:rPr>
          <w:rFonts w:ascii="Times New Roman" w:eastAsia="Times New Roman" w:hAnsi="Times New Roman" w:cs="Times New Roman"/>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17C"/>
    <w:rsid w:val="0009488C"/>
    <w:rsid w:val="00126BE1"/>
    <w:rsid w:val="00185B14"/>
    <w:rsid w:val="00421325"/>
    <w:rsid w:val="0051317C"/>
    <w:rsid w:val="00617517"/>
    <w:rsid w:val="008317DA"/>
    <w:rsid w:val="009451E5"/>
    <w:rsid w:val="00AA1EE9"/>
    <w:rsid w:val="00AB4635"/>
    <w:rsid w:val="00BB6D16"/>
    <w:rsid w:val="00C5238C"/>
    <w:rsid w:val="00C56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EBED68"/>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4655</Words>
  <Characters>26535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3</cp:revision>
  <dcterms:created xsi:type="dcterms:W3CDTF">2025-05-29T20:09:00Z</dcterms:created>
  <dcterms:modified xsi:type="dcterms:W3CDTF">2025-05-29T20:13:00Z</dcterms:modified>
</cp:coreProperties>
</file>